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60" w:rsidRDefault="009732FE">
      <w:pPr>
        <w:jc w:val="right"/>
        <w:rPr>
          <w:b/>
          <w:sz w:val="28"/>
        </w:rPr>
      </w:pPr>
      <w:r>
        <w:rPr>
          <w:noProof/>
        </w:rPr>
        <w:drawing>
          <wp:inline distT="0" distB="0" distL="0" distR="0">
            <wp:extent cx="459105" cy="5086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</w:p>
    <w:p w:rsidR="00216A60" w:rsidRDefault="009732FE">
      <w:pPr>
        <w:jc w:val="center"/>
        <w:rPr>
          <w:b/>
          <w:sz w:val="21"/>
        </w:rPr>
      </w:pPr>
      <w:r>
        <w:rPr>
          <w:b/>
          <w:sz w:val="21"/>
        </w:rPr>
        <w:t>ПРОФСОЮЗ РАБОТНИКОВ НАРОДНОГО ОБРАЗОВАНИЯ И НАУКИ РОССИЙСКОЙ ФЕДЕРАЦИИ</w:t>
      </w:r>
    </w:p>
    <w:p w:rsidR="00216A60" w:rsidRDefault="009732FE">
      <w:pPr>
        <w:jc w:val="center"/>
        <w:rPr>
          <w:b/>
          <w:sz w:val="18"/>
        </w:rPr>
      </w:pPr>
      <w:r>
        <w:rPr>
          <w:b/>
          <w:sz w:val="18"/>
        </w:rPr>
        <w:t>(ОБЩЕРОССИЙСКИЙ ПРОФСОЮЗ ОБРАЗОВАНИЯ)</w:t>
      </w:r>
    </w:p>
    <w:p w:rsidR="00216A60" w:rsidRDefault="009732FE">
      <w:pPr>
        <w:jc w:val="center"/>
        <w:rPr>
          <w:b/>
          <w:sz w:val="28"/>
        </w:rPr>
      </w:pPr>
      <w:r>
        <w:rPr>
          <w:b/>
          <w:sz w:val="28"/>
        </w:rPr>
        <w:t>Курская областная организация</w:t>
      </w:r>
    </w:p>
    <w:p w:rsidR="00216A60" w:rsidRDefault="009732FE">
      <w:pPr>
        <w:jc w:val="center"/>
        <w:rPr>
          <w:b/>
          <w:sz w:val="28"/>
        </w:rPr>
      </w:pPr>
      <w:r>
        <w:rPr>
          <w:b/>
          <w:sz w:val="28"/>
        </w:rPr>
        <w:t>Президиум областной организации профсоюза</w:t>
      </w:r>
    </w:p>
    <w:p w:rsidR="00216A60" w:rsidRDefault="00216A60">
      <w:pPr>
        <w:jc w:val="center"/>
        <w:rPr>
          <w:b/>
          <w:sz w:val="12"/>
        </w:rPr>
      </w:pPr>
    </w:p>
    <w:p w:rsidR="00216A60" w:rsidRDefault="009732F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294"/>
      </w:tblGrid>
      <w:tr w:rsidR="00216A60">
        <w:trPr>
          <w:trHeight w:hRule="exact" w:val="423"/>
        </w:trPr>
        <w:tc>
          <w:tcPr>
            <w:tcW w:w="3510" w:type="dxa"/>
            <w:tcBorders>
              <w:top w:val="double" w:sz="0" w:space="0" w:color="000000"/>
            </w:tcBorders>
          </w:tcPr>
          <w:p w:rsidR="00216A60" w:rsidRDefault="009732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11 февраля  2021 г.</w:t>
            </w:r>
          </w:p>
        </w:tc>
        <w:tc>
          <w:tcPr>
            <w:tcW w:w="3544" w:type="dxa"/>
            <w:tcBorders>
              <w:top w:val="double" w:sz="0" w:space="0" w:color="000000"/>
            </w:tcBorders>
          </w:tcPr>
          <w:p w:rsidR="00216A60" w:rsidRDefault="009732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г. Курск</w:t>
            </w:r>
          </w:p>
        </w:tc>
        <w:tc>
          <w:tcPr>
            <w:tcW w:w="3294" w:type="dxa"/>
            <w:tcBorders>
              <w:top w:val="double" w:sz="0" w:space="0" w:color="000000"/>
            </w:tcBorders>
          </w:tcPr>
          <w:p w:rsidR="00216A60" w:rsidRDefault="009732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№08-02</w:t>
            </w:r>
          </w:p>
        </w:tc>
      </w:tr>
    </w:tbl>
    <w:p w:rsidR="00216A60" w:rsidRDefault="00216A60">
      <w:pPr>
        <w:pStyle w:val="a5"/>
        <w:jc w:val="both"/>
        <w:rPr>
          <w:rFonts w:ascii="Times New Roman" w:hAnsi="Times New Roman"/>
          <w:b/>
          <w:sz w:val="28"/>
        </w:rPr>
      </w:pPr>
    </w:p>
    <w:p w:rsidR="00216A60" w:rsidRDefault="009732FE">
      <w:pPr>
        <w:jc w:val="both"/>
        <w:rPr>
          <w:b/>
          <w:sz w:val="28"/>
        </w:rPr>
      </w:pPr>
      <w:r>
        <w:rPr>
          <w:b/>
          <w:sz w:val="28"/>
        </w:rPr>
        <w:t>Об итогах работы по защите прав членов Профсоюза</w:t>
      </w:r>
    </w:p>
    <w:p w:rsidR="00216A60" w:rsidRDefault="009732F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на здоровые и безопасные условия труда в 2020 году</w:t>
      </w:r>
    </w:p>
    <w:p w:rsidR="00216A60" w:rsidRDefault="009732FE">
      <w:pPr>
        <w:jc w:val="both"/>
        <w:rPr>
          <w:sz w:val="28"/>
        </w:rPr>
      </w:pPr>
      <w:r w:rsidRPr="009732FE">
        <w:rPr>
          <w:sz w:val="28"/>
        </w:rPr>
        <w:t>Металиченко С.С.</w:t>
      </w:r>
    </w:p>
    <w:p w:rsidR="009732FE" w:rsidRPr="009732FE" w:rsidRDefault="009732FE">
      <w:pPr>
        <w:jc w:val="both"/>
        <w:rPr>
          <w:sz w:val="28"/>
        </w:rPr>
      </w:pPr>
    </w:p>
    <w:p w:rsidR="00216A60" w:rsidRDefault="009732FE">
      <w:pPr>
        <w:ind w:firstLine="567"/>
        <w:jc w:val="both"/>
        <w:rPr>
          <w:sz w:val="28"/>
          <w:shd w:val="clear" w:color="auto" w:fill="FFFFFF"/>
        </w:rPr>
      </w:pPr>
      <w:proofErr w:type="gramStart"/>
      <w:r>
        <w:rPr>
          <w:sz w:val="28"/>
        </w:rPr>
        <w:t>Деятельность обкома Профсоюза, технической инспекции труда в 2020 году в сложившихся условиях на фоне введения режима повышенной готовности</w:t>
      </w:r>
      <w:r>
        <w:rPr>
          <w:sz w:val="28"/>
        </w:rPr>
        <w:t xml:space="preserve"> в связи с распространением коронавирусной инфекции была направлена на принятие оптимальных решений для создания здоровых и безопасных условий труда, своевременного решения возникающих проблем совместно с профактивом, руководителями органов управления обра</w:t>
      </w:r>
      <w:r>
        <w:rPr>
          <w:sz w:val="28"/>
        </w:rPr>
        <w:t>зованием и образовательных организаций.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Обеспечивалось оперативное информирование в</w:t>
      </w:r>
      <w:r>
        <w:rPr>
          <w:sz w:val="28"/>
          <w:shd w:val="clear" w:color="auto" w:fill="FFFFFF"/>
        </w:rPr>
        <w:t xml:space="preserve"> рубрике «Об особенностях работы в режиме повышенной готовности», на «Горячей линии», во время мероприятий, по электронной почте, </w:t>
      </w:r>
      <w:r>
        <w:rPr>
          <w:sz w:val="28"/>
        </w:rPr>
        <w:t>в официальных группах в социальных сетях</w:t>
      </w:r>
      <w:r>
        <w:rPr>
          <w:sz w:val="28"/>
          <w:shd w:val="clear" w:color="auto" w:fill="FFFFFF"/>
        </w:rPr>
        <w:t xml:space="preserve"> и </w:t>
      </w:r>
      <w:r>
        <w:rPr>
          <w:sz w:val="28"/>
          <w:shd w:val="clear" w:color="auto" w:fill="FFFFFF"/>
        </w:rPr>
        <w:t xml:space="preserve">т.п., были даны рекомендации по регулированию трудовых отношений, по обеспечению самоизоляции работников в возрасте 65 лет и старше, особенностях прохождения обязательных ежегодных медосмотров, необходимости обеспечения </w:t>
      </w:r>
      <w:r>
        <w:rPr>
          <w:sz w:val="28"/>
        </w:rPr>
        <w:t>сертифицированной спецодеждой и сред</w:t>
      </w:r>
      <w:r>
        <w:rPr>
          <w:sz w:val="28"/>
        </w:rPr>
        <w:t>ствами индивидуальной защиты</w:t>
      </w:r>
      <w:proofErr w:type="gramEnd"/>
      <w:r>
        <w:rPr>
          <w:sz w:val="28"/>
        </w:rPr>
        <w:t xml:space="preserve">, о </w:t>
      </w:r>
      <w:proofErr w:type="gramStart"/>
      <w:r>
        <w:rPr>
          <w:sz w:val="28"/>
        </w:rPr>
        <w:t>финансировании</w:t>
      </w:r>
      <w:proofErr w:type="gramEnd"/>
      <w:r>
        <w:rPr>
          <w:sz w:val="28"/>
        </w:rPr>
        <w:t xml:space="preserve"> мероприятий по охране труда, выполнении требований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в связи с профилактикой коронавирусной инфекции и</w:t>
      </w:r>
      <w:r>
        <w:rPr>
          <w:sz w:val="28"/>
          <w:shd w:val="clear" w:color="auto" w:fill="FFFFFF"/>
        </w:rPr>
        <w:t xml:space="preserve"> другим многочисленным вопросам. </w:t>
      </w:r>
      <w:r>
        <w:rPr>
          <w:sz w:val="28"/>
        </w:rPr>
        <w:t>Был разработан ряд разъяснений и комментариев, информационн</w:t>
      </w:r>
      <w:r>
        <w:rPr>
          <w:sz w:val="28"/>
        </w:rPr>
        <w:t xml:space="preserve">ых листков («Оценка профессиональных рисков», «Об особенностях прохождения медосмотров», «О компенсировании мероприятий по профилактике  COVID-19 за счет средств ФСС» и др.). </w:t>
      </w:r>
      <w:r>
        <w:rPr>
          <w:sz w:val="28"/>
          <w:shd w:val="clear" w:color="auto" w:fill="FFFFFF"/>
        </w:rPr>
        <w:t>Количество просмотров сайта областной организации составило более 27 тысяч (в сра</w:t>
      </w:r>
      <w:r>
        <w:rPr>
          <w:sz w:val="28"/>
          <w:shd w:val="clear" w:color="auto" w:fill="FFFFFF"/>
        </w:rPr>
        <w:t>внении: в 2019 году - 15000), что подтверждает востребованность размещаемых материалов.</w:t>
      </w:r>
    </w:p>
    <w:p w:rsidR="00216A60" w:rsidRDefault="009732FE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Кроме того, техническая инспекция продолжила деятельность по основным уставным направлениями, таким как организация и проведение обследований состояния условий и охраны</w:t>
      </w:r>
      <w:r>
        <w:rPr>
          <w:sz w:val="28"/>
        </w:rPr>
        <w:t xml:space="preserve"> труда, содействие развитию системы управления охраной труда и участие в оценке ее эффективности, осуществление общественного контроля соблюдения работодателями законодательства в области охраны труда, контроль предоставления соответствующих компенсаций и </w:t>
      </w:r>
      <w:r>
        <w:rPr>
          <w:sz w:val="28"/>
        </w:rPr>
        <w:t>льгот,  обучение  профсоюзного актива по вопросам охраны труда и др.</w:t>
      </w:r>
      <w:proofErr w:type="gramEnd"/>
    </w:p>
    <w:p w:rsidR="00216A60" w:rsidRDefault="009732FE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Количество обследований образовательных организаций</w:t>
      </w:r>
      <w:r>
        <w:rPr>
          <w:color w:val="000000"/>
          <w:sz w:val="28"/>
        </w:rPr>
        <w:t xml:space="preserve"> техническим и внештатными техническими инспекторами труда уменьшилось в связи с ограничением возможности их проведения.</w:t>
      </w:r>
      <w:proofErr w:type="gramEnd"/>
      <w:r>
        <w:rPr>
          <w:color w:val="000000"/>
          <w:sz w:val="28"/>
        </w:rPr>
        <w:t xml:space="preserve"> В основном они проводились </w:t>
      </w:r>
      <w:r>
        <w:rPr>
          <w:sz w:val="28"/>
        </w:rPr>
        <w:t>на основе изучения документов, находящихся в открытом доступе, а также полученных на основании запроса, анке</w:t>
      </w:r>
      <w:r>
        <w:rPr>
          <w:sz w:val="28"/>
        </w:rPr>
        <w:t xml:space="preserve">т, опроса председателей, ответственных лиц и руководителей учреждений. Всего было проведено 974 совместные </w:t>
      </w:r>
      <w:r>
        <w:rPr>
          <w:sz w:val="28"/>
        </w:rPr>
        <w:lastRenderedPageBreak/>
        <w:t xml:space="preserve">проверки с муниципальными органами управления образованием, 16 проверок с органами государственного надзора,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Роспожнадзором</w:t>
      </w:r>
      <w:proofErr w:type="spellEnd"/>
      <w:r>
        <w:rPr>
          <w:sz w:val="28"/>
        </w:rPr>
        <w:t>, 1614</w:t>
      </w:r>
      <w:r>
        <w:rPr>
          <w:sz w:val="28"/>
        </w:rPr>
        <w:t xml:space="preserve"> обследований образовательных организаций, выявлено – 1477 нарушений, выдано – 572 представления. Технический инспектор труда </w:t>
      </w:r>
      <w:r>
        <w:rPr>
          <w:color w:val="000000"/>
          <w:sz w:val="28"/>
        </w:rPr>
        <w:t>провел</w:t>
      </w:r>
      <w:r>
        <w:rPr>
          <w:sz w:val="28"/>
        </w:rPr>
        <w:t xml:space="preserve"> выборочные документарные проверки</w:t>
      </w:r>
      <w:r>
        <w:rPr>
          <w:color w:val="000000"/>
          <w:sz w:val="28"/>
        </w:rPr>
        <w:t xml:space="preserve"> образовательных организаций </w:t>
      </w:r>
      <w:proofErr w:type="spellStart"/>
      <w:r>
        <w:rPr>
          <w:color w:val="000000"/>
          <w:sz w:val="28"/>
        </w:rPr>
        <w:t>Тимского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Железногорского</w:t>
      </w:r>
      <w:proofErr w:type="spellEnd"/>
      <w:r>
        <w:rPr>
          <w:sz w:val="28"/>
        </w:rPr>
        <w:t xml:space="preserve"> районов, отдельных образовательных </w:t>
      </w:r>
      <w:r>
        <w:rPr>
          <w:sz w:val="28"/>
        </w:rPr>
        <w:t>организаций городов Железногорск и Курск,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в июле-августе </w:t>
      </w:r>
      <w:proofErr w:type="spellStart"/>
      <w:r>
        <w:rPr>
          <w:sz w:val="28"/>
        </w:rPr>
        <w:t>т.г</w:t>
      </w:r>
      <w:proofErr w:type="spellEnd"/>
      <w:r>
        <w:rPr>
          <w:sz w:val="28"/>
        </w:rPr>
        <w:t>. принял участие в работе областной комиссии по приемке учреждений отрасли к новому учебному году и проверил 31 образовательную организацию. Председатели территориальных организаций Профсоюза, вне</w:t>
      </w:r>
      <w:r>
        <w:rPr>
          <w:sz w:val="28"/>
        </w:rPr>
        <w:t>штатные технические инспекторы труда, председатели ППО в составе районных комиссий по приемке учреждений образования к началу нового учебного года и  работе в осенне-зимний период провели проверку и приемку 926 образовательных организаций области.</w:t>
      </w:r>
    </w:p>
    <w:p w:rsidR="00216A60" w:rsidRDefault="009732FE">
      <w:pPr>
        <w:ind w:firstLine="426"/>
        <w:jc w:val="both"/>
        <w:rPr>
          <w:color w:val="000000"/>
          <w:sz w:val="28"/>
        </w:rPr>
      </w:pPr>
      <w:r>
        <w:rPr>
          <w:sz w:val="28"/>
        </w:rPr>
        <w:t xml:space="preserve">В целом </w:t>
      </w:r>
      <w:r>
        <w:rPr>
          <w:sz w:val="28"/>
        </w:rPr>
        <w:t xml:space="preserve">проверки подтверждают, что работодателями в основном соблюдается трудовое законодательство в области охраны труда. </w:t>
      </w:r>
      <w:r>
        <w:rPr>
          <w:color w:val="000000"/>
          <w:sz w:val="28"/>
        </w:rPr>
        <w:t xml:space="preserve">Обкомом Профсоюза, техническим инспектором труда даны рекомендации председателям территориальных организаций, внештатным техническим инспекторам труда от районов для осуществления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устранением работодателями недостатков, выявленных в ходе провер</w:t>
      </w:r>
      <w:r>
        <w:rPr>
          <w:color w:val="000000"/>
          <w:sz w:val="28"/>
        </w:rPr>
        <w:t>ок</w:t>
      </w:r>
      <w:r>
        <w:rPr>
          <w:sz w:val="28"/>
        </w:rPr>
        <w:t xml:space="preserve">.    </w:t>
      </w:r>
    </w:p>
    <w:p w:rsidR="00216A60" w:rsidRDefault="009732FE">
      <w:pPr>
        <w:ind w:firstLine="426"/>
        <w:jc w:val="both"/>
        <w:rPr>
          <w:sz w:val="28"/>
        </w:rPr>
      </w:pPr>
      <w:r>
        <w:rPr>
          <w:sz w:val="28"/>
        </w:rPr>
        <w:t xml:space="preserve">Осуществляется общественный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обеспечения работников СИЗ. В 2020 году на приобретение защитных медицинских масок, </w:t>
      </w:r>
      <w:proofErr w:type="spellStart"/>
      <w:r>
        <w:rPr>
          <w:sz w:val="28"/>
        </w:rPr>
        <w:t>дезсредств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санитайзеров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рециркуляторов</w:t>
      </w:r>
      <w:proofErr w:type="spellEnd"/>
      <w:r>
        <w:rPr>
          <w:sz w:val="28"/>
        </w:rPr>
        <w:t xml:space="preserve">, </w:t>
      </w:r>
      <w:r>
        <w:rPr>
          <w:color w:val="000000"/>
          <w:sz w:val="28"/>
        </w:rPr>
        <w:t xml:space="preserve">спецодежды, </w:t>
      </w:r>
      <w:proofErr w:type="spellStart"/>
      <w:r>
        <w:rPr>
          <w:color w:val="000000"/>
          <w:sz w:val="28"/>
        </w:rPr>
        <w:t>спецобуви</w:t>
      </w:r>
      <w:proofErr w:type="spellEnd"/>
      <w:r>
        <w:rPr>
          <w:color w:val="000000"/>
          <w:sz w:val="28"/>
        </w:rPr>
        <w:t xml:space="preserve"> и других </w:t>
      </w:r>
      <w:proofErr w:type="gramStart"/>
      <w:r>
        <w:rPr>
          <w:color w:val="000000"/>
          <w:sz w:val="28"/>
        </w:rPr>
        <w:t>СИЗ</w:t>
      </w:r>
      <w:proofErr w:type="gramEnd"/>
      <w:r>
        <w:rPr>
          <w:sz w:val="28"/>
        </w:rPr>
        <w:t xml:space="preserve"> из различных источников финансиров</w:t>
      </w:r>
      <w:r>
        <w:rPr>
          <w:sz w:val="28"/>
        </w:rPr>
        <w:t xml:space="preserve">ания было выделено 7 252 800 рублей, что больше, чем в 2019 году, на 60%. </w:t>
      </w:r>
    </w:p>
    <w:p w:rsidR="00216A60" w:rsidRDefault="009732FE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Медицинские осмотры работников образования в основном осуществляется в соответствии с трудовым законодательством, хотя и выявляются отдельные случаи нарушений. Затраты на проведение</w:t>
      </w:r>
      <w:r>
        <w:rPr>
          <w:color w:val="000000"/>
          <w:sz w:val="28"/>
        </w:rPr>
        <w:t xml:space="preserve"> медосмотра в 2020 году составили 55289,6  тыс. рублей, что больше по сравнению с 2019 годом почти на 9 </w:t>
      </w:r>
      <w:proofErr w:type="spellStart"/>
      <w:r>
        <w:rPr>
          <w:color w:val="000000"/>
          <w:sz w:val="28"/>
        </w:rPr>
        <w:t>млн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уб</w:t>
      </w:r>
      <w:proofErr w:type="spellEnd"/>
      <w:r>
        <w:rPr>
          <w:color w:val="000000"/>
          <w:sz w:val="28"/>
        </w:rPr>
        <w:t>., в том числе,  в связи с ростом цен на медицинские услуги.</w:t>
      </w:r>
    </w:p>
    <w:p w:rsidR="00216A60" w:rsidRDefault="009732FE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обучение и аттестацию по 40-часовой программе руководителей и лиц, ответственных </w:t>
      </w:r>
      <w:r>
        <w:rPr>
          <w:color w:val="000000"/>
          <w:sz w:val="28"/>
        </w:rPr>
        <w:t>за охрану труда, было израсходовано 1 563,4 тыс. рублей.</w:t>
      </w:r>
    </w:p>
    <w:p w:rsidR="00216A60" w:rsidRDefault="009732FE">
      <w:pPr>
        <w:ind w:firstLine="426"/>
        <w:jc w:val="both"/>
        <w:rPr>
          <w:b/>
          <w:sz w:val="28"/>
        </w:rPr>
      </w:pPr>
      <w:r>
        <w:rPr>
          <w:color w:val="000000"/>
          <w:sz w:val="28"/>
        </w:rPr>
        <w:t xml:space="preserve">В  2020 году срок действия </w:t>
      </w:r>
      <w:proofErr w:type="spellStart"/>
      <w:r>
        <w:rPr>
          <w:color w:val="000000"/>
          <w:sz w:val="28"/>
        </w:rPr>
        <w:t>спецоценки</w:t>
      </w:r>
      <w:proofErr w:type="spellEnd"/>
      <w:r>
        <w:rPr>
          <w:color w:val="000000"/>
          <w:sz w:val="28"/>
        </w:rPr>
        <w:t xml:space="preserve"> условий труда завершился примерно на 12 600 рабочих местах и был продлен с учетом отсутствия изменений условий труда. СОУТ была проведена на 2 832 рабочих местах</w:t>
      </w:r>
      <w:r>
        <w:rPr>
          <w:color w:val="000000"/>
          <w:sz w:val="28"/>
        </w:rPr>
        <w:t xml:space="preserve">. Было израсходовано 2 606,0 тыс. рублей. Средняя стоимость СОУТ одного рабочего места составила 920 рублей. Итого в отрасли СОУТ </w:t>
      </w:r>
      <w:proofErr w:type="gramStart"/>
      <w:r>
        <w:rPr>
          <w:color w:val="000000"/>
          <w:sz w:val="28"/>
        </w:rPr>
        <w:t>проведена</w:t>
      </w:r>
      <w:proofErr w:type="gramEnd"/>
      <w:r>
        <w:rPr>
          <w:color w:val="000000"/>
          <w:sz w:val="28"/>
        </w:rPr>
        <w:t xml:space="preserve"> на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44 938 рабочих местах, что составляет примерно 98%.  </w:t>
      </w:r>
    </w:p>
    <w:p w:rsidR="00216A60" w:rsidRDefault="009732FE">
      <w:pPr>
        <w:shd w:val="clear" w:color="auto" w:fill="FFFFFF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Несмотря на проводимую обкомом Профсоюза  работу и оказывае</w:t>
      </w:r>
      <w:r>
        <w:rPr>
          <w:color w:val="000000"/>
          <w:sz w:val="28"/>
        </w:rPr>
        <w:t>мую методическую помощь,  образовательными организациями региона по-прежнему практически не используется возможность возврата до 30% сумм страховых взносов из Фонда социального страхования на мероприятия по охране труда. В 2020 году такой возможностью восп</w:t>
      </w:r>
      <w:r>
        <w:rPr>
          <w:color w:val="000000"/>
          <w:sz w:val="28"/>
        </w:rPr>
        <w:t>ользовались всего 3 образовательные организации – средние общеобразовательные школы №25, 53 и 60 города Курска – всего 87 800 руб. Основная причина – недостаток у многих образовательных организаций сре</w:t>
      </w:r>
      <w:proofErr w:type="gramStart"/>
      <w:r>
        <w:rPr>
          <w:color w:val="000000"/>
          <w:sz w:val="28"/>
        </w:rPr>
        <w:t>дств дл</w:t>
      </w:r>
      <w:proofErr w:type="gramEnd"/>
      <w:r>
        <w:rPr>
          <w:color w:val="000000"/>
          <w:sz w:val="28"/>
        </w:rPr>
        <w:t>я оплаты мероприятий по охране труда, подлежащих</w:t>
      </w:r>
      <w:r>
        <w:rPr>
          <w:color w:val="000000"/>
          <w:sz w:val="28"/>
        </w:rPr>
        <w:t xml:space="preserve"> возврату. </w:t>
      </w:r>
    </w:p>
    <w:p w:rsidR="00216A60" w:rsidRDefault="009732FE">
      <w:pPr>
        <w:shd w:val="clear" w:color="auto" w:fill="FFFFFF"/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информации о несчастных случаях на производстве, прошедших экспертизу в ГУ КРО ФСС РФ, в 2020 году в отрасли произошло 8 несчастных </w:t>
      </w:r>
      <w:r>
        <w:rPr>
          <w:color w:val="000000"/>
          <w:sz w:val="28"/>
        </w:rPr>
        <w:lastRenderedPageBreak/>
        <w:t>случаев (в 2019 году - 4). Один из них – групповой – произошел 17.02.2020.  В его расследовании принял участи</w:t>
      </w:r>
      <w:r>
        <w:rPr>
          <w:color w:val="000000"/>
          <w:sz w:val="28"/>
        </w:rPr>
        <w:t>е технический инспектор труда обкома Профсоюза. В пути следования к месту прохождения курсов повышения квалификации две женщины - педагоги-библиотекари двух школ г. Железногорска попали в ДТП. У одной -  сотрясение головного мозга легкой степени тяжести, у</w:t>
      </w:r>
      <w:r>
        <w:rPr>
          <w:color w:val="000000"/>
          <w:sz w:val="28"/>
        </w:rPr>
        <w:t xml:space="preserve"> другой – травма позвоночника тяжелой степени. Причина ДТП – неблагоприятные погодные условия. Причины всех остальных несчастных случаев – личная неосторожность работников. Все они легкой степени тяжести. </w:t>
      </w:r>
    </w:p>
    <w:p w:rsidR="00216A60" w:rsidRDefault="009732FE">
      <w:pPr>
        <w:ind w:firstLine="426"/>
        <w:jc w:val="both"/>
        <w:rPr>
          <w:sz w:val="28"/>
        </w:rPr>
      </w:pPr>
      <w:r>
        <w:rPr>
          <w:sz w:val="28"/>
        </w:rPr>
        <w:t xml:space="preserve"> Кроме того, недостатками в области охраны труда в</w:t>
      </w:r>
      <w:r>
        <w:rPr>
          <w:sz w:val="28"/>
        </w:rPr>
        <w:t xml:space="preserve"> отрасли остаются:</w:t>
      </w:r>
    </w:p>
    <w:p w:rsidR="00216A60" w:rsidRDefault="009732FE">
      <w:pPr>
        <w:ind w:firstLine="426"/>
        <w:jc w:val="both"/>
        <w:rPr>
          <w:sz w:val="28"/>
        </w:rPr>
      </w:pPr>
      <w:r>
        <w:rPr>
          <w:sz w:val="28"/>
        </w:rPr>
        <w:t>-    недостаточное финансирование мероприятий по охране труда;</w:t>
      </w:r>
    </w:p>
    <w:p w:rsidR="00216A60" w:rsidRDefault="009732FE">
      <w:pPr>
        <w:ind w:firstLine="426"/>
        <w:jc w:val="both"/>
        <w:rPr>
          <w:sz w:val="28"/>
        </w:rPr>
      </w:pPr>
      <w:r>
        <w:rPr>
          <w:sz w:val="28"/>
        </w:rPr>
        <w:t>-  неиспользование возможности возврата 30% сумм страховых взносов из ФСС на предупредительные меры по охране труда;</w:t>
      </w:r>
    </w:p>
    <w:p w:rsidR="00216A60" w:rsidRDefault="009732FE">
      <w:pPr>
        <w:jc w:val="both"/>
        <w:rPr>
          <w:sz w:val="28"/>
        </w:rPr>
      </w:pPr>
      <w:r>
        <w:rPr>
          <w:sz w:val="28"/>
        </w:rPr>
        <w:t xml:space="preserve">      -  выявление в отдельных образовательных организаци</w:t>
      </w:r>
      <w:r>
        <w:rPr>
          <w:sz w:val="28"/>
        </w:rPr>
        <w:t>ях случаев прохождения медосмотра за счет работников, отсутствия программы вводного, первичного, повторного инструктажа и инструктажа на рабочем месте, личных карточек учета выдачи работникам СИЗ и смывающих и обезвреживающих средств и т.п.</w:t>
      </w:r>
    </w:p>
    <w:p w:rsidR="00216A60" w:rsidRDefault="009732FE">
      <w:pPr>
        <w:ind w:firstLine="426"/>
        <w:jc w:val="both"/>
        <w:rPr>
          <w:sz w:val="28"/>
        </w:rPr>
      </w:pPr>
      <w:r>
        <w:rPr>
          <w:sz w:val="28"/>
        </w:rPr>
        <w:t xml:space="preserve"> -  невыполнени</w:t>
      </w:r>
      <w:r>
        <w:rPr>
          <w:sz w:val="28"/>
        </w:rPr>
        <w:t>е представлений технической инспекции труда, данных в ходе ОТП-2018, по ремонту зданий образовательных организаций, являющихся памятниками культуры и внесенных в соответствующий реестр в связи с отсутствием необходимого объёма финансирования.</w:t>
      </w:r>
    </w:p>
    <w:p w:rsidR="00216A60" w:rsidRDefault="009732FE">
      <w:pPr>
        <w:widowControl w:val="0"/>
        <w:ind w:firstLine="708"/>
        <w:jc w:val="both"/>
        <w:rPr>
          <w:sz w:val="28"/>
        </w:rPr>
      </w:pPr>
      <w:r>
        <w:rPr>
          <w:color w:val="000000"/>
          <w:sz w:val="28"/>
        </w:rPr>
        <w:t>В 2020 году т</w:t>
      </w:r>
      <w:r>
        <w:rPr>
          <w:color w:val="000000"/>
          <w:sz w:val="28"/>
        </w:rPr>
        <w:t xml:space="preserve">ехнической инспекцией труда было рассмотрено 104 обращения (заявлений, жалоб). Увеличение количества обращений связано с </w:t>
      </w:r>
      <w:r>
        <w:rPr>
          <w:sz w:val="28"/>
        </w:rPr>
        <w:t xml:space="preserve">изменением и ростом требований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, отсутствием у руководителей и профактива опыта организации дистанционной и удаленной р</w:t>
      </w:r>
      <w:r>
        <w:rPr>
          <w:sz w:val="28"/>
        </w:rPr>
        <w:t xml:space="preserve">аботы. Случаев нарушения прав работников по необоснованному снятию установленных гарантий и компенсаций в случаях отсутствия СОУТ не выявлено. </w:t>
      </w:r>
    </w:p>
    <w:p w:rsidR="00216A60" w:rsidRDefault="009732FE">
      <w:pPr>
        <w:ind w:firstLine="426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В 2020 году было проведено два занятия постоянно действующего семинара внештатных технических инспекторов, </w:t>
      </w:r>
      <w:r>
        <w:rPr>
          <w:noProof/>
          <w:color w:val="000000"/>
          <w:sz w:val="28"/>
        </w:rPr>
        <w:t>в пра</w:t>
      </w:r>
      <w:r>
        <w:rPr>
          <w:noProof/>
          <w:color w:val="000000"/>
          <w:sz w:val="28"/>
        </w:rPr>
        <w:t>ктической части одного из которых был продемонстрирован фильм, снятый специалистами обкома Профсоюза, ставший дополнением к методическим рекомендациям</w:t>
      </w:r>
      <w:hyperlink r:id="rId7" w:tgtFrame="_blank" w:history="1">
        <w:r>
          <w:rPr>
            <w:rStyle w:val="af4"/>
            <w:color w:val="auto"/>
            <w:sz w:val="28"/>
            <w:u w:val="none"/>
          </w:rPr>
          <w:t xml:space="preserve"> по проведению обследований (проверок) образовательных организаций</w:t>
        </w:r>
      </w:hyperlink>
      <w:r>
        <w:rPr>
          <w:noProof/>
          <w:sz w:val="28"/>
        </w:rPr>
        <w:t xml:space="preserve">, </w:t>
      </w:r>
      <w:r>
        <w:rPr>
          <w:color w:val="000000"/>
          <w:sz w:val="28"/>
        </w:rPr>
        <w:t>и один семинар для вновь назначенных инспекторов</w:t>
      </w:r>
      <w:r>
        <w:rPr>
          <w:sz w:val="28"/>
        </w:rPr>
        <w:t xml:space="preserve"> в связи с обновлением состава технической инспекции на 15%</w:t>
      </w:r>
      <w:r>
        <w:rPr>
          <w:color w:val="000000"/>
          <w:sz w:val="28"/>
        </w:rPr>
        <w:t>. Кроме того обучение по вопросам охраны труда</w:t>
      </w:r>
      <w:proofErr w:type="gramEnd"/>
      <w:r>
        <w:rPr>
          <w:color w:val="000000"/>
          <w:sz w:val="28"/>
        </w:rPr>
        <w:t xml:space="preserve"> было организовано в рамках сове</w:t>
      </w:r>
      <w:r>
        <w:rPr>
          <w:color w:val="000000"/>
          <w:sz w:val="28"/>
        </w:rPr>
        <w:t>щаний с председателями территориальных организаций Профсоюза.</w:t>
      </w:r>
    </w:p>
    <w:p w:rsidR="00216A60" w:rsidRDefault="009732FE">
      <w:pPr>
        <w:pStyle w:val="aa"/>
        <w:spacing w:after="0" w:line="240" w:lineRule="auto"/>
        <w:ind w:left="0" w:firstLine="426"/>
        <w:jc w:val="both"/>
        <w:rPr>
          <w:sz w:val="28"/>
        </w:rPr>
      </w:pPr>
      <w:r>
        <w:rPr>
          <w:color w:val="000000"/>
          <w:sz w:val="28"/>
        </w:rPr>
        <w:t>В прошедшем году наиболее активно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работали внештатные инспекторы труда и уполномоченные по </w:t>
      </w:r>
      <w:proofErr w:type="gramStart"/>
      <w:r>
        <w:rPr>
          <w:color w:val="000000"/>
          <w:sz w:val="28"/>
        </w:rPr>
        <w:t>ОТ</w:t>
      </w:r>
      <w:proofErr w:type="gram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Большесолдатском</w:t>
      </w:r>
      <w:proofErr w:type="spellEnd"/>
      <w:r>
        <w:rPr>
          <w:color w:val="000000"/>
          <w:sz w:val="28"/>
        </w:rPr>
        <w:t xml:space="preserve">, Железногорском, </w:t>
      </w:r>
      <w:proofErr w:type="spellStart"/>
      <w:r>
        <w:rPr>
          <w:color w:val="000000"/>
          <w:sz w:val="28"/>
        </w:rPr>
        <w:t>Медвенском</w:t>
      </w:r>
      <w:proofErr w:type="spellEnd"/>
      <w:r>
        <w:rPr>
          <w:color w:val="000000"/>
          <w:sz w:val="28"/>
        </w:rPr>
        <w:t>, районах, городах Курск и Железногорск. Не удалось ор</w:t>
      </w:r>
      <w:r>
        <w:rPr>
          <w:color w:val="000000"/>
          <w:sz w:val="28"/>
        </w:rPr>
        <w:t xml:space="preserve">ганизовать по различным причинам проведение обследований в образовательных организациях Курчатовского, </w:t>
      </w:r>
      <w:proofErr w:type="spellStart"/>
      <w:r>
        <w:rPr>
          <w:color w:val="000000"/>
          <w:sz w:val="28"/>
        </w:rPr>
        <w:t>Пристенского</w:t>
      </w:r>
      <w:proofErr w:type="spellEnd"/>
      <w:r>
        <w:rPr>
          <w:color w:val="000000"/>
          <w:sz w:val="28"/>
        </w:rPr>
        <w:t xml:space="preserve">, Рыльского, </w:t>
      </w:r>
      <w:proofErr w:type="spellStart"/>
      <w:r>
        <w:rPr>
          <w:color w:val="000000"/>
          <w:sz w:val="28"/>
        </w:rPr>
        <w:t>Суджанского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Черемисиновского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Щигровского</w:t>
      </w:r>
      <w:proofErr w:type="spellEnd"/>
      <w:r>
        <w:rPr>
          <w:color w:val="000000"/>
          <w:sz w:val="28"/>
        </w:rPr>
        <w:t xml:space="preserve"> районов. И хотя в целом у</w:t>
      </w:r>
      <w:r>
        <w:rPr>
          <w:sz w:val="28"/>
        </w:rPr>
        <w:t>далось добиться определённой стабильности состава внештатно</w:t>
      </w:r>
      <w:r>
        <w:rPr>
          <w:sz w:val="28"/>
        </w:rPr>
        <w:t xml:space="preserve">й инспекции труда, в отдельных  территориальных организациях по-прежнему остаются проблемы (в </w:t>
      </w:r>
      <w:proofErr w:type="spellStart"/>
      <w:r>
        <w:rPr>
          <w:sz w:val="28"/>
        </w:rPr>
        <w:t>Глушковской</w:t>
      </w:r>
      <w:proofErr w:type="spellEnd"/>
      <w:r>
        <w:rPr>
          <w:sz w:val="28"/>
        </w:rPr>
        <w:t xml:space="preserve"> и Курчатовских организациях по-прежнему отсутствуют  внештатные технические инспекторы труда). Обновлена база данных внештатных технических инспекторо</w:t>
      </w:r>
      <w:r>
        <w:rPr>
          <w:sz w:val="28"/>
        </w:rPr>
        <w:t xml:space="preserve">в с указанием сроков прохождения </w:t>
      </w:r>
      <w:proofErr w:type="gramStart"/>
      <w:r>
        <w:rPr>
          <w:sz w:val="28"/>
        </w:rPr>
        <w:t>обучения по охране</w:t>
      </w:r>
      <w:proofErr w:type="gramEnd"/>
      <w:r>
        <w:rPr>
          <w:sz w:val="28"/>
        </w:rPr>
        <w:t xml:space="preserve"> труда и источников финансирования. Недостатком остается формальное отношение </w:t>
      </w:r>
      <w:r>
        <w:rPr>
          <w:sz w:val="28"/>
        </w:rPr>
        <w:lastRenderedPageBreak/>
        <w:t xml:space="preserve">некоторых уполномоченных по охране труда к реализации функции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законодательных и нормативных актов по ох</w:t>
      </w:r>
      <w:r>
        <w:rPr>
          <w:sz w:val="28"/>
        </w:rPr>
        <w:t>ране труда, их частая сменяемость. Н</w:t>
      </w:r>
      <w:r>
        <w:rPr>
          <w:color w:val="000000"/>
          <w:sz w:val="28"/>
        </w:rPr>
        <w:t>е всегда выполняется требование о проведении уполномоченными не менее четырех проверок в год в рамках осуществления трехступенчатого административно-общественного контроля. Некоторые территориальные организации указали в</w:t>
      </w:r>
      <w:r>
        <w:rPr>
          <w:color w:val="000000"/>
          <w:sz w:val="28"/>
        </w:rPr>
        <w:t xml:space="preserve"> отчете за 2020 год определенное количество проверок при отсутствии выявленных нарушений, что говорит либо о низком качестве проведения данных проверок, либо об отсутствии компетентности уполномоченных по охране труда.</w:t>
      </w:r>
    </w:p>
    <w:p w:rsidR="00216A60" w:rsidRDefault="009732FE">
      <w:pPr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Президиум обкома Профсоюза</w:t>
      </w:r>
    </w:p>
    <w:p w:rsidR="00216A60" w:rsidRDefault="009732FE">
      <w:pPr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ПОСТАНОВЛЯ</w:t>
      </w:r>
      <w:r>
        <w:rPr>
          <w:b/>
          <w:color w:val="000000"/>
          <w:sz w:val="28"/>
        </w:rPr>
        <w:t>ЕТ:</w:t>
      </w:r>
    </w:p>
    <w:p w:rsidR="00216A60" w:rsidRDefault="009732FE">
      <w:pPr>
        <w:widowControl w:val="0"/>
        <w:shd w:val="clear" w:color="auto" w:fill="FFFFFF"/>
        <w:suppressAutoHyphens w:val="0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1.  Отчет по охране труда за 2020 год утвердить (Приложение 1).</w:t>
      </w:r>
    </w:p>
    <w:p w:rsidR="00216A60" w:rsidRDefault="009732FE">
      <w:pPr>
        <w:ind w:firstLine="360"/>
        <w:jc w:val="both"/>
        <w:rPr>
          <w:sz w:val="28"/>
        </w:rPr>
      </w:pPr>
      <w:r>
        <w:rPr>
          <w:color w:val="000000"/>
          <w:sz w:val="28"/>
        </w:rPr>
        <w:t xml:space="preserve"> 2. Технической инспекции труда обкома Профсоюза </w:t>
      </w:r>
      <w:r>
        <w:rPr>
          <w:sz w:val="28"/>
        </w:rPr>
        <w:t xml:space="preserve">продолжить работу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216A60" w:rsidRDefault="009732FE">
      <w:pPr>
        <w:pStyle w:val="aa"/>
        <w:spacing w:after="0" w:line="240" w:lineRule="auto"/>
        <w:ind w:left="0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   осуществлению  регулярного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выполнением соответствующего</w:t>
      </w:r>
      <w:r>
        <w:rPr>
          <w:color w:val="000000"/>
          <w:sz w:val="28"/>
        </w:rPr>
        <w:t xml:space="preserve"> раздела регионального соглашения по </w:t>
      </w:r>
      <w:r>
        <w:rPr>
          <w:color w:val="000000"/>
          <w:sz w:val="28"/>
        </w:rPr>
        <w:t>регулированию социально-трудовых отношений в системе образования Курской области;</w:t>
      </w:r>
    </w:p>
    <w:p w:rsidR="00216A60" w:rsidRDefault="009732FE">
      <w:pPr>
        <w:pStyle w:val="aa"/>
        <w:spacing w:after="0" w:line="240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- повышению эффективности деятельности внештатных технических инспекторов труда, уполномоченных по охране труда по осуществлению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трудового законодател</w:t>
      </w:r>
      <w:r>
        <w:rPr>
          <w:sz w:val="28"/>
        </w:rPr>
        <w:t xml:space="preserve">ьства в области охраны труда, выполнением условий коллективных договоров, соглашений по охране труда и т.п., повышению эффективности </w:t>
      </w:r>
      <w:r>
        <w:rPr>
          <w:color w:val="000000"/>
          <w:sz w:val="28"/>
        </w:rPr>
        <w:t xml:space="preserve"> их обучения  на занятиях постоянно действующего семинара</w:t>
      </w:r>
      <w:r>
        <w:rPr>
          <w:sz w:val="28"/>
        </w:rPr>
        <w:t>;</w:t>
      </w:r>
    </w:p>
    <w:p w:rsidR="00216A60" w:rsidRDefault="009732FE">
      <w:pPr>
        <w:pStyle w:val="aa"/>
        <w:spacing w:after="0" w:line="240" w:lineRule="auto"/>
        <w:ind w:left="0" w:firstLine="360"/>
        <w:jc w:val="both"/>
        <w:rPr>
          <w:sz w:val="28"/>
        </w:rPr>
      </w:pPr>
      <w:r>
        <w:rPr>
          <w:sz w:val="28"/>
        </w:rPr>
        <w:t>- проведению комплексных проверок состояния охраны труда в образ</w:t>
      </w:r>
      <w:r>
        <w:rPr>
          <w:sz w:val="28"/>
        </w:rPr>
        <w:t>овательных организациях региона, организации выездных обследований  с профактивом, а при необходимости - с государственными органами контроля и прокуратурой, с проведением по итогам проверок обучающих семинаров;</w:t>
      </w:r>
    </w:p>
    <w:p w:rsidR="00216A60" w:rsidRDefault="009732FE">
      <w:pPr>
        <w:pStyle w:val="aa"/>
        <w:spacing w:after="0" w:line="240" w:lineRule="auto"/>
        <w:ind w:left="0" w:firstLine="360"/>
        <w:jc w:val="both"/>
        <w:rPr>
          <w:sz w:val="28"/>
        </w:rPr>
      </w:pPr>
      <w:r>
        <w:rPr>
          <w:sz w:val="28"/>
        </w:rPr>
        <w:t>-   практику участия в работе областной коми</w:t>
      </w:r>
      <w:r>
        <w:rPr>
          <w:sz w:val="28"/>
        </w:rPr>
        <w:t>ссии по приемке учреждений к новому учебному году и других комиссий, работающих в целях охраны труда;</w:t>
      </w:r>
    </w:p>
    <w:p w:rsidR="00216A60" w:rsidRDefault="009732FE">
      <w:pPr>
        <w:suppressAutoHyphens w:val="0"/>
        <w:ind w:firstLine="360"/>
        <w:jc w:val="both"/>
        <w:rPr>
          <w:color w:val="000000"/>
          <w:sz w:val="28"/>
        </w:rPr>
      </w:pPr>
      <w:r>
        <w:rPr>
          <w:sz w:val="28"/>
        </w:rPr>
        <w:t xml:space="preserve">- информированию профактива, руководителей органов управления образованием, образовательных организаций об </w:t>
      </w:r>
      <w:r>
        <w:rPr>
          <w:color w:val="000000"/>
          <w:sz w:val="28"/>
        </w:rPr>
        <w:t xml:space="preserve">использовании возможности возврата до 30% сумм </w:t>
      </w:r>
      <w:r>
        <w:rPr>
          <w:color w:val="000000"/>
          <w:sz w:val="28"/>
        </w:rPr>
        <w:t>взносов из ФСС на мероприятия по охране труда.</w:t>
      </w:r>
    </w:p>
    <w:p w:rsidR="00216A60" w:rsidRDefault="009732FE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3. Территориальным организациям Профсоюза совместно с органами управления образованием, руководителями образовательных организаций провести анализ состояния условий труда работников с учетом отмеченных недоста</w:t>
      </w:r>
      <w:r>
        <w:rPr>
          <w:color w:val="000000"/>
          <w:sz w:val="28"/>
        </w:rPr>
        <w:t>тков, указанных в данном постановлении.  Добиваться:</w:t>
      </w:r>
    </w:p>
    <w:p w:rsidR="00216A60" w:rsidRDefault="009732FE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использования всеми образовательными организациями возможности возврата до 30% сумм взносов из ФСС для улучшения условий труда: </w:t>
      </w:r>
    </w:p>
    <w:p w:rsidR="00216A60" w:rsidRDefault="009732FE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 повышения эффективности системы трёхступенчатого административно-общес</w:t>
      </w:r>
      <w:r>
        <w:rPr>
          <w:color w:val="000000"/>
          <w:sz w:val="28"/>
        </w:rPr>
        <w:t xml:space="preserve">твенного </w:t>
      </w:r>
      <w:proofErr w:type="gramStart"/>
      <w:r>
        <w:rPr>
          <w:color w:val="000000"/>
          <w:sz w:val="28"/>
        </w:rPr>
        <w:t>контроля  за</w:t>
      </w:r>
      <w:proofErr w:type="gramEnd"/>
      <w:r>
        <w:rPr>
          <w:color w:val="000000"/>
          <w:sz w:val="28"/>
        </w:rPr>
        <w:t xml:space="preserve"> состоянием охраны труда и роли уполномоченного по охране труда;</w:t>
      </w:r>
    </w:p>
    <w:p w:rsidR="00216A60" w:rsidRDefault="009732FE">
      <w:pPr>
        <w:pStyle w:val="aa"/>
        <w:widowControl w:val="0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Территориальным и первичным профсоюзным организациям:</w:t>
      </w:r>
    </w:p>
    <w:p w:rsidR="00216A60" w:rsidRDefault="009732FE">
      <w:pPr>
        <w:pStyle w:val="aa"/>
        <w:widowControl w:val="0"/>
        <w:shd w:val="clear" w:color="auto" w:fill="FFFFFF"/>
        <w:spacing w:after="0" w:line="240" w:lineRule="auto"/>
        <w:ind w:left="0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 регулярно проводить проверки соблюдения трудового законодательства в области охраны труда, итоги данных проверок р</w:t>
      </w:r>
      <w:r>
        <w:rPr>
          <w:color w:val="000000"/>
          <w:sz w:val="28"/>
        </w:rPr>
        <w:t>ассматривать на заседаниях коллегиальных органов;</w:t>
      </w:r>
    </w:p>
    <w:p w:rsidR="00216A60" w:rsidRDefault="009732FE">
      <w:pPr>
        <w:widowControl w:val="0"/>
        <w:suppressAutoHyphens w:val="0"/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- проводить анализ работы уполномоченных по охране труда, внештатных технических инспекторов труда, способствовать активизации их деятельности, </w:t>
      </w:r>
      <w:r>
        <w:rPr>
          <w:color w:val="000000"/>
          <w:sz w:val="28"/>
        </w:rPr>
        <w:t xml:space="preserve">повышению уровня знаний вопросах охраны труда;  </w:t>
      </w:r>
    </w:p>
    <w:p w:rsidR="00216A60" w:rsidRDefault="009732FE">
      <w:pPr>
        <w:pStyle w:val="aa"/>
        <w:spacing w:after="0" w:line="240" w:lineRule="auto"/>
        <w:ind w:left="0" w:firstLine="708"/>
        <w:jc w:val="both"/>
        <w:rPr>
          <w:sz w:val="28"/>
        </w:rPr>
      </w:pPr>
      <w:r>
        <w:rPr>
          <w:sz w:val="28"/>
        </w:rPr>
        <w:lastRenderedPageBreak/>
        <w:t>- активно взаимодействовать с органами государственной власти и органами местного самоуправления муниципальных районов и городов в вопросах охраны труда образовательных организаций, в том числе в условиях профилактики коронавирусной инфекции, а также при п</w:t>
      </w:r>
      <w:r>
        <w:rPr>
          <w:sz w:val="28"/>
        </w:rPr>
        <w:t>риемке их к новому учебному году и при подготовке и проведении летней оздоровительной кампании;</w:t>
      </w:r>
    </w:p>
    <w:p w:rsidR="00216A60" w:rsidRDefault="009732FE">
      <w:pPr>
        <w:suppressAutoHyphens w:val="0"/>
        <w:ind w:firstLine="708"/>
        <w:jc w:val="both"/>
        <w:rPr>
          <w:sz w:val="28"/>
        </w:rPr>
      </w:pPr>
      <w:r>
        <w:rPr>
          <w:sz w:val="28"/>
        </w:rPr>
        <w:t xml:space="preserve">- осуществлять регулярный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раздело по охране труда   территориальных отраслевых соглашений, коллективных договоров, соглашений по охране </w:t>
      </w:r>
      <w:r>
        <w:rPr>
          <w:sz w:val="28"/>
        </w:rPr>
        <w:t>труда.</w:t>
      </w:r>
    </w:p>
    <w:p w:rsidR="00216A60" w:rsidRDefault="009732FE">
      <w:pPr>
        <w:widowControl w:val="0"/>
        <w:shd w:val="clear" w:color="auto" w:fill="FFFFFF"/>
        <w:suppressAutoHyphens w:val="0"/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 xml:space="preserve">Отметить активную  работу в отчетном году </w:t>
      </w:r>
      <w:r>
        <w:rPr>
          <w:color w:val="000000"/>
          <w:sz w:val="28"/>
        </w:rPr>
        <w:t xml:space="preserve">внештатных инспекторов труда и уполномоченных по охране труда </w:t>
      </w:r>
      <w:proofErr w:type="spellStart"/>
      <w:r>
        <w:rPr>
          <w:color w:val="000000"/>
          <w:sz w:val="28"/>
        </w:rPr>
        <w:t>Большесолдатской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Железногорской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Медвенской</w:t>
      </w:r>
      <w:proofErr w:type="spellEnd"/>
      <w:r>
        <w:rPr>
          <w:color w:val="000000"/>
          <w:sz w:val="28"/>
        </w:rPr>
        <w:t xml:space="preserve">  районных и Курской городской организаций.  </w:t>
      </w:r>
      <w:proofErr w:type="gramEnd"/>
    </w:p>
    <w:p w:rsidR="00216A60" w:rsidRDefault="009732FE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6. Председателям </w:t>
      </w:r>
      <w:r>
        <w:rPr>
          <w:color w:val="000000"/>
          <w:sz w:val="28"/>
        </w:rPr>
        <w:t>территориальных и первичных профсою</w:t>
      </w:r>
      <w:r>
        <w:rPr>
          <w:color w:val="000000"/>
          <w:sz w:val="28"/>
        </w:rPr>
        <w:t>зных организаций</w:t>
      </w:r>
      <w:r>
        <w:rPr>
          <w:sz w:val="28"/>
        </w:rPr>
        <w:t xml:space="preserve"> обеспечить соблюдение установленных сроков, полноты и качества  представляемых отчётов и прилагаемых к ним материалов.</w:t>
      </w:r>
    </w:p>
    <w:p w:rsidR="009732FE" w:rsidRDefault="009732FE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7. Контроль выполнения данного постановления возложить на зам. председателя обкома Профсоюза Металиченко С.С., техническ</w:t>
      </w:r>
      <w:r>
        <w:rPr>
          <w:color w:val="000000"/>
          <w:sz w:val="28"/>
        </w:rPr>
        <w:t>ого инспектора труда обкома профсоюза.</w:t>
      </w:r>
    </w:p>
    <w:p w:rsidR="00216A60" w:rsidRDefault="009732FE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</w:rPr>
      </w:pPr>
      <w:bookmarkStart w:id="0" w:name="_GoBack"/>
      <w:bookmarkEnd w:id="0"/>
      <w:r>
        <w:rPr>
          <w:color w:val="000000"/>
          <w:sz w:val="28"/>
        </w:rPr>
        <w:t xml:space="preserve"> </w:t>
      </w:r>
    </w:p>
    <w:p w:rsidR="009732FE" w:rsidRDefault="009732FE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064F25" wp14:editId="0E17368E">
            <wp:simplePos x="0" y="0"/>
            <wp:positionH relativeFrom="column">
              <wp:posOffset>2858770</wp:posOffset>
            </wp:positionH>
            <wp:positionV relativeFrom="paragraph">
              <wp:posOffset>142875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2FE" w:rsidRDefault="009732FE" w:rsidP="009732FE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 </w:t>
      </w:r>
    </w:p>
    <w:p w:rsidR="009732FE" w:rsidRDefault="009732FE" w:rsidP="009732FE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И.В. Корякина   </w:t>
      </w:r>
    </w:p>
    <w:p w:rsidR="009732FE" w:rsidRDefault="009732FE" w:rsidP="009732F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732FE" w:rsidRDefault="009732FE">
      <w:pPr>
        <w:widowControl w:val="0"/>
        <w:shd w:val="clear" w:color="auto" w:fill="FFFFFF"/>
        <w:suppressAutoHyphens w:val="0"/>
        <w:ind w:firstLine="708"/>
        <w:jc w:val="both"/>
        <w:rPr>
          <w:color w:val="000000"/>
          <w:sz w:val="28"/>
        </w:rPr>
      </w:pPr>
    </w:p>
    <w:p w:rsidR="00216A60" w:rsidRDefault="00216A60">
      <w:pPr>
        <w:pStyle w:val="a5"/>
        <w:jc w:val="both"/>
        <w:rPr>
          <w:rFonts w:ascii="Times New Roman" w:hAnsi="Times New Roman"/>
          <w:sz w:val="28"/>
        </w:rPr>
      </w:pPr>
    </w:p>
    <w:p w:rsidR="00216A60" w:rsidRDefault="00216A60">
      <w:pPr>
        <w:pStyle w:val="a5"/>
        <w:jc w:val="both"/>
        <w:rPr>
          <w:rFonts w:ascii="Times New Roman" w:hAnsi="Times New Roman"/>
          <w:sz w:val="28"/>
        </w:rPr>
      </w:pPr>
    </w:p>
    <w:p w:rsidR="00216A60" w:rsidRDefault="009732FE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216A60" w:rsidRDefault="00216A60">
      <w:pPr>
        <w:pStyle w:val="a5"/>
        <w:jc w:val="both"/>
        <w:rPr>
          <w:rFonts w:ascii="Times New Roman" w:hAnsi="Times New Roman"/>
          <w:b/>
          <w:sz w:val="28"/>
        </w:rPr>
      </w:pPr>
    </w:p>
    <w:p w:rsidR="00216A60" w:rsidRDefault="00216A60">
      <w:pPr>
        <w:jc w:val="both"/>
        <w:rPr>
          <w:sz w:val="28"/>
        </w:rPr>
      </w:pPr>
    </w:p>
    <w:p w:rsidR="00216A60" w:rsidRDefault="00216A60">
      <w:pPr>
        <w:jc w:val="both"/>
        <w:rPr>
          <w:sz w:val="28"/>
        </w:rPr>
      </w:pPr>
    </w:p>
    <w:p w:rsidR="00216A60" w:rsidRDefault="00216A60">
      <w:pPr>
        <w:jc w:val="both"/>
        <w:rPr>
          <w:sz w:val="28"/>
        </w:rPr>
      </w:pPr>
    </w:p>
    <w:p w:rsidR="00216A60" w:rsidRDefault="00216A60">
      <w:pPr>
        <w:jc w:val="both"/>
        <w:rPr>
          <w:sz w:val="28"/>
        </w:rPr>
      </w:pPr>
    </w:p>
    <w:p w:rsidR="00216A60" w:rsidRDefault="00216A60">
      <w:pPr>
        <w:jc w:val="both"/>
        <w:rPr>
          <w:sz w:val="28"/>
        </w:rPr>
      </w:pPr>
    </w:p>
    <w:p w:rsidR="00216A60" w:rsidRDefault="00216A60">
      <w:pPr>
        <w:jc w:val="both"/>
        <w:rPr>
          <w:sz w:val="28"/>
        </w:rPr>
      </w:pPr>
    </w:p>
    <w:p w:rsidR="00216A60" w:rsidRDefault="00216A60">
      <w:pPr>
        <w:jc w:val="both"/>
        <w:rPr>
          <w:sz w:val="28"/>
        </w:rPr>
      </w:pPr>
    </w:p>
    <w:p w:rsidR="00216A60" w:rsidRDefault="00216A60">
      <w:pPr>
        <w:jc w:val="both"/>
        <w:rPr>
          <w:sz w:val="28"/>
        </w:rPr>
      </w:pPr>
    </w:p>
    <w:p w:rsidR="00216A60" w:rsidRDefault="00216A60">
      <w:pPr>
        <w:jc w:val="both"/>
        <w:rPr>
          <w:sz w:val="28"/>
        </w:rPr>
      </w:pPr>
    </w:p>
    <w:sectPr w:rsidR="00216A60">
      <w:pgSz w:w="11906" w:h="16838" w:code="9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C4B"/>
    <w:multiLevelType w:val="hybridMultilevel"/>
    <w:tmpl w:val="4F38971A"/>
    <w:lvl w:ilvl="0" w:tplc="66BCD0E2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4278"/>
    <w:multiLevelType w:val="hybridMultilevel"/>
    <w:tmpl w:val="71F2C426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CF431C8"/>
    <w:multiLevelType w:val="hybridMultilevel"/>
    <w:tmpl w:val="3CD2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15C96"/>
    <w:multiLevelType w:val="hybridMultilevel"/>
    <w:tmpl w:val="58788E84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E4CD7"/>
    <w:multiLevelType w:val="hybridMultilevel"/>
    <w:tmpl w:val="93D61E78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6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8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0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2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4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6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81" w:hanging="360"/>
      </w:pPr>
      <w:rPr>
        <w:rFonts w:ascii="Wingdings" w:hAnsi="Wingdings"/>
      </w:rPr>
    </w:lvl>
  </w:abstractNum>
  <w:abstractNum w:abstractNumId="5">
    <w:nsid w:val="14C90EAA"/>
    <w:multiLevelType w:val="hybridMultilevel"/>
    <w:tmpl w:val="D77C2E56"/>
    <w:lvl w:ilvl="0" w:tplc="FA0E87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B909CF"/>
    <w:multiLevelType w:val="hybridMultilevel"/>
    <w:tmpl w:val="B044B952"/>
    <w:lvl w:ilvl="0" w:tplc="A584381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left" w:pos="2685"/>
        </w:tabs>
        <w:ind w:left="2685" w:hanging="36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7">
    <w:nsid w:val="161E37F6"/>
    <w:multiLevelType w:val="hybridMultilevel"/>
    <w:tmpl w:val="D07A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C10B5"/>
    <w:multiLevelType w:val="hybridMultilevel"/>
    <w:tmpl w:val="2A22C3AA"/>
    <w:lvl w:ilvl="0" w:tplc="7DBAB9D0">
      <w:start w:val="2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3089C"/>
    <w:multiLevelType w:val="hybridMultilevel"/>
    <w:tmpl w:val="E8F6CFC0"/>
    <w:lvl w:ilvl="0" w:tplc="04190001">
      <w:start w:val="1"/>
      <w:numFmt w:val="bullet"/>
      <w:lvlText w:val=""/>
      <w:lvlJc w:val="left"/>
      <w:pPr>
        <w:tabs>
          <w:tab w:val="left" w:pos="927"/>
        </w:tabs>
        <w:ind w:left="92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295D0EC8"/>
    <w:multiLevelType w:val="hybridMultilevel"/>
    <w:tmpl w:val="E354C60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1">
    <w:nsid w:val="29A439F3"/>
    <w:multiLevelType w:val="hybridMultilevel"/>
    <w:tmpl w:val="5448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4627"/>
    <w:multiLevelType w:val="hybridMultilevel"/>
    <w:tmpl w:val="DCB81218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3">
    <w:nsid w:val="397D2C58"/>
    <w:multiLevelType w:val="hybridMultilevel"/>
    <w:tmpl w:val="9B0221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E4A3E"/>
    <w:multiLevelType w:val="hybridMultilevel"/>
    <w:tmpl w:val="8C40FD2A"/>
    <w:lvl w:ilvl="0" w:tplc="F962AAB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94656A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6C406C3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9BE069A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D05A8A5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A104AE0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042A2D2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53ECF1F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24D6A97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5">
    <w:nsid w:val="3F7121C4"/>
    <w:multiLevelType w:val="hybridMultilevel"/>
    <w:tmpl w:val="C5FC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329AD"/>
    <w:multiLevelType w:val="hybridMultilevel"/>
    <w:tmpl w:val="E4CC2220"/>
    <w:lvl w:ilvl="0" w:tplc="E7DC98E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>
    <w:nsid w:val="4DD23D02"/>
    <w:multiLevelType w:val="multilevel"/>
    <w:tmpl w:val="940E6B8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4DD77A09"/>
    <w:multiLevelType w:val="hybridMultilevel"/>
    <w:tmpl w:val="CDAA90E2"/>
    <w:lvl w:ilvl="0" w:tplc="92E2791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99CC2CA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472E03B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CDEE18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25FCB63E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188E66B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725CB7C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D04EE5B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2D9E92A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9">
    <w:nsid w:val="555C6454"/>
    <w:multiLevelType w:val="hybridMultilevel"/>
    <w:tmpl w:val="D2221078"/>
    <w:lvl w:ilvl="0" w:tplc="9954ADC0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8217C6"/>
    <w:multiLevelType w:val="hybridMultilevel"/>
    <w:tmpl w:val="A822B776"/>
    <w:lvl w:ilvl="0" w:tplc="1136B686">
      <w:start w:val="3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C2D019C"/>
    <w:multiLevelType w:val="hybridMultilevel"/>
    <w:tmpl w:val="F878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3315B"/>
    <w:multiLevelType w:val="hybridMultilevel"/>
    <w:tmpl w:val="D7B60714"/>
    <w:lvl w:ilvl="0" w:tplc="1BAE5A9E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CC16E05"/>
    <w:multiLevelType w:val="hybridMultilevel"/>
    <w:tmpl w:val="974808EE"/>
    <w:lvl w:ilvl="0" w:tplc="5FB4EBA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B46268"/>
    <w:multiLevelType w:val="hybridMultilevel"/>
    <w:tmpl w:val="97B470F8"/>
    <w:lvl w:ilvl="0" w:tplc="5FB4EBA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82C97"/>
    <w:multiLevelType w:val="multilevel"/>
    <w:tmpl w:val="71BC9DF8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7E793182"/>
    <w:multiLevelType w:val="hybridMultilevel"/>
    <w:tmpl w:val="BB44B46E"/>
    <w:lvl w:ilvl="0" w:tplc="5FF22D20">
      <w:start w:val="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18"/>
  </w:num>
  <w:num w:numId="5">
    <w:abstractNumId w:val="25"/>
  </w:num>
  <w:num w:numId="6">
    <w:abstractNumId w:val="24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  <w:num w:numId="14">
    <w:abstractNumId w:val="6"/>
  </w:num>
  <w:num w:numId="15">
    <w:abstractNumId w:val="13"/>
  </w:num>
  <w:num w:numId="16">
    <w:abstractNumId w:val="4"/>
  </w:num>
  <w:num w:numId="17">
    <w:abstractNumId w:val="26"/>
  </w:num>
  <w:num w:numId="18">
    <w:abstractNumId w:val="8"/>
  </w:num>
  <w:num w:numId="19">
    <w:abstractNumId w:val="15"/>
  </w:num>
  <w:num w:numId="20">
    <w:abstractNumId w:val="2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60"/>
    <w:rsid w:val="00216A60"/>
    <w:rsid w:val="009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semiHidden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uppressAutoHyphens w:val="0"/>
    </w:pPr>
    <w:rPr>
      <w:rFonts w:ascii="Courier New" w:hAnsi="Courier New"/>
      <w:sz w:val="20"/>
    </w:rPr>
  </w:style>
  <w:style w:type="paragraph" w:styleId="a5">
    <w:name w:val="No Spacing"/>
    <w:qFormat/>
    <w:pPr>
      <w:spacing w:after="0" w:line="240" w:lineRule="auto"/>
    </w:p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semiHidden/>
    <w:rPr>
      <w:rFonts w:ascii="Tahoma" w:hAnsi="Tahoma"/>
      <w:sz w:val="16"/>
    </w:rPr>
  </w:style>
  <w:style w:type="paragraph" w:styleId="af1">
    <w:name w:val="Normal (Web)"/>
    <w:basedOn w:val="a"/>
    <w:pPr>
      <w:suppressAutoHyphens w:val="0"/>
      <w:spacing w:before="100" w:beforeAutospacing="1" w:after="100" w:afterAutospacing="1"/>
    </w:pPr>
  </w:style>
  <w:style w:type="paragraph" w:customStyle="1" w:styleId="af2">
    <w:name w:val="Содержимое таблицы"/>
    <w:basedOn w:val="a"/>
    <w:pPr>
      <w:widowControl w:val="0"/>
      <w:suppressLineNumbers/>
    </w:pPr>
  </w:style>
  <w:style w:type="paragraph" w:styleId="23">
    <w:name w:val="List 2"/>
    <w:basedOn w:val="a"/>
    <w:pPr>
      <w:ind w:left="566" w:hanging="283"/>
      <w:contextualSpacing/>
    </w:pPr>
  </w:style>
  <w:style w:type="character" w:styleId="af3">
    <w:name w:val="line number"/>
    <w:basedOn w:val="a0"/>
    <w:semiHidden/>
  </w:style>
  <w:style w:type="character" w:styleId="af4">
    <w:name w:val="Hyperlink"/>
    <w:basedOn w:val="a0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customStyle="1" w:styleId="a7">
    <w:name w:val="Основной текст Знак"/>
    <w:basedOn w:val="a0"/>
    <w:link w:val="a6"/>
  </w:style>
  <w:style w:type="character" w:customStyle="1" w:styleId="a9">
    <w:name w:val="Основной текст с отступом Знак"/>
    <w:basedOn w:val="a0"/>
    <w:link w:val="a8"/>
    <w:semiHidden/>
  </w:style>
  <w:style w:type="character" w:styleId="af5">
    <w:name w:val="Strong"/>
    <w:basedOn w:val="a0"/>
    <w:qFormat/>
    <w:rPr>
      <w:b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Название Знак"/>
    <w:basedOn w:val="a0"/>
    <w:link w:val="ab"/>
    <w:rPr>
      <w:b/>
      <w:color w:val="000000"/>
      <w:sz w:val="28"/>
    </w:rPr>
  </w:style>
  <w:style w:type="character" w:customStyle="1" w:styleId="ae">
    <w:name w:val="Подзаголовок Знак"/>
    <w:basedOn w:val="a0"/>
    <w:link w:val="ac"/>
    <w:rPr>
      <w:b/>
      <w:sz w:val="28"/>
    </w:rPr>
  </w:style>
  <w:style w:type="character" w:customStyle="1" w:styleId="22">
    <w:name w:val="Основной текст 2 Знак"/>
    <w:basedOn w:val="a0"/>
    <w:link w:val="21"/>
  </w:style>
  <w:style w:type="character" w:customStyle="1" w:styleId="10">
    <w:name w:val="Заголовок 1 Знак"/>
    <w:basedOn w:val="a0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basedOn w:val="a0"/>
    <w:link w:val="af"/>
    <w:semiHidden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semiHidden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uppressAutoHyphens w:val="0"/>
    </w:pPr>
    <w:rPr>
      <w:rFonts w:ascii="Courier New" w:hAnsi="Courier New"/>
      <w:sz w:val="20"/>
    </w:rPr>
  </w:style>
  <w:style w:type="paragraph" w:styleId="a5">
    <w:name w:val="No Spacing"/>
    <w:qFormat/>
    <w:pPr>
      <w:spacing w:after="0" w:line="240" w:lineRule="auto"/>
    </w:p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semiHidden/>
    <w:pPr>
      <w:spacing w:after="120"/>
      <w:ind w:left="283"/>
    </w:p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semiHidden/>
    <w:rPr>
      <w:rFonts w:ascii="Tahoma" w:hAnsi="Tahoma"/>
      <w:sz w:val="16"/>
    </w:rPr>
  </w:style>
  <w:style w:type="paragraph" w:styleId="af1">
    <w:name w:val="Normal (Web)"/>
    <w:basedOn w:val="a"/>
    <w:pPr>
      <w:suppressAutoHyphens w:val="0"/>
      <w:spacing w:before="100" w:beforeAutospacing="1" w:after="100" w:afterAutospacing="1"/>
    </w:pPr>
  </w:style>
  <w:style w:type="paragraph" w:customStyle="1" w:styleId="af2">
    <w:name w:val="Содержимое таблицы"/>
    <w:basedOn w:val="a"/>
    <w:pPr>
      <w:widowControl w:val="0"/>
      <w:suppressLineNumbers/>
    </w:pPr>
  </w:style>
  <w:style w:type="paragraph" w:styleId="23">
    <w:name w:val="List 2"/>
    <w:basedOn w:val="a"/>
    <w:pPr>
      <w:ind w:left="566" w:hanging="283"/>
      <w:contextualSpacing/>
    </w:pPr>
  </w:style>
  <w:style w:type="character" w:styleId="af3">
    <w:name w:val="line number"/>
    <w:basedOn w:val="a0"/>
    <w:semiHidden/>
  </w:style>
  <w:style w:type="character" w:styleId="af4">
    <w:name w:val="Hyperlink"/>
    <w:basedOn w:val="a0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customStyle="1" w:styleId="a7">
    <w:name w:val="Основной текст Знак"/>
    <w:basedOn w:val="a0"/>
    <w:link w:val="a6"/>
  </w:style>
  <w:style w:type="character" w:customStyle="1" w:styleId="a9">
    <w:name w:val="Основной текст с отступом Знак"/>
    <w:basedOn w:val="a0"/>
    <w:link w:val="a8"/>
    <w:semiHidden/>
  </w:style>
  <w:style w:type="character" w:styleId="af5">
    <w:name w:val="Strong"/>
    <w:basedOn w:val="a0"/>
    <w:qFormat/>
    <w:rPr>
      <w:b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Название Знак"/>
    <w:basedOn w:val="a0"/>
    <w:link w:val="ab"/>
    <w:rPr>
      <w:b/>
      <w:color w:val="000000"/>
      <w:sz w:val="28"/>
    </w:rPr>
  </w:style>
  <w:style w:type="character" w:customStyle="1" w:styleId="ae">
    <w:name w:val="Подзаголовок Знак"/>
    <w:basedOn w:val="a0"/>
    <w:link w:val="ac"/>
    <w:rPr>
      <w:b/>
      <w:sz w:val="28"/>
    </w:rPr>
  </w:style>
  <w:style w:type="character" w:customStyle="1" w:styleId="22">
    <w:name w:val="Основной текст 2 Знак"/>
    <w:basedOn w:val="a0"/>
    <w:link w:val="21"/>
  </w:style>
  <w:style w:type="character" w:customStyle="1" w:styleId="10">
    <w:name w:val="Заголовок 1 Знак"/>
    <w:basedOn w:val="a0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basedOn w:val="a0"/>
    <w:link w:val="af"/>
    <w:semiHidden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jcE1lJXgtdz3UKtLCj6QvX55glHIARyj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</dc:creator>
  <cp:lastModifiedBy>HP</cp:lastModifiedBy>
  <cp:revision>2</cp:revision>
  <dcterms:created xsi:type="dcterms:W3CDTF">2021-02-11T14:46:00Z</dcterms:created>
  <dcterms:modified xsi:type="dcterms:W3CDTF">2021-02-11T14:46:00Z</dcterms:modified>
</cp:coreProperties>
</file>