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61" w:rsidRDefault="00327711">
      <w:pPr>
        <w:jc w:val="right"/>
        <w:rPr>
          <w:b/>
          <w:sz w:val="28"/>
        </w:rPr>
      </w:pPr>
      <w:r>
        <w:rPr>
          <w:noProof/>
        </w:rPr>
        <w:drawing>
          <wp:inline distT="0" distB="0" distL="0" distR="0">
            <wp:extent cx="459105" cy="5086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508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E77F3">
        <w:rPr>
          <w:b/>
          <w:sz w:val="28"/>
        </w:rPr>
        <w:t xml:space="preserve"> </w:t>
      </w:r>
      <w:r w:rsidR="001E77F3">
        <w:rPr>
          <w:b/>
          <w:sz w:val="28"/>
        </w:rPr>
        <w:tab/>
      </w:r>
    </w:p>
    <w:p w:rsidR="00A92961" w:rsidRDefault="00327711">
      <w:pPr>
        <w:jc w:val="center"/>
        <w:rPr>
          <w:b/>
          <w:sz w:val="21"/>
        </w:rPr>
      </w:pPr>
      <w:r>
        <w:rPr>
          <w:b/>
          <w:sz w:val="21"/>
        </w:rPr>
        <w:t>ПРОФСОЮЗ РАБОТНИКОВ НАРОДНОГО ОБРАЗОВАНИЯ И НАУКИ РОССИЙСКОЙ ФЕДЕРАЦИИ</w:t>
      </w:r>
    </w:p>
    <w:p w:rsidR="00A92961" w:rsidRDefault="00327711">
      <w:pPr>
        <w:jc w:val="center"/>
        <w:rPr>
          <w:b/>
          <w:sz w:val="18"/>
        </w:rPr>
      </w:pPr>
      <w:r>
        <w:rPr>
          <w:b/>
          <w:sz w:val="18"/>
        </w:rPr>
        <w:t>(ОБЩЕРОССИЙСКИЙ ПРОФСОЮЗ ОБРАЗОВАНИЯ)</w:t>
      </w:r>
    </w:p>
    <w:p w:rsidR="00A92961" w:rsidRDefault="00327711">
      <w:pPr>
        <w:jc w:val="center"/>
        <w:rPr>
          <w:b/>
          <w:sz w:val="28"/>
        </w:rPr>
      </w:pPr>
      <w:r>
        <w:rPr>
          <w:b/>
          <w:sz w:val="28"/>
        </w:rPr>
        <w:t>Курская областная организация</w:t>
      </w:r>
    </w:p>
    <w:p w:rsidR="00A92961" w:rsidRDefault="00327711">
      <w:pPr>
        <w:jc w:val="center"/>
        <w:rPr>
          <w:b/>
          <w:sz w:val="28"/>
        </w:rPr>
      </w:pPr>
      <w:r>
        <w:rPr>
          <w:b/>
          <w:sz w:val="28"/>
        </w:rPr>
        <w:t>Президиум областной организации профсоюза</w:t>
      </w:r>
    </w:p>
    <w:p w:rsidR="00A92961" w:rsidRDefault="00A92961">
      <w:pPr>
        <w:rPr>
          <w:b/>
          <w:sz w:val="12"/>
        </w:rPr>
      </w:pPr>
    </w:p>
    <w:p w:rsidR="00A92961" w:rsidRDefault="0032771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3294"/>
      </w:tblGrid>
      <w:tr w:rsidR="00A92961">
        <w:trPr>
          <w:trHeight w:hRule="exact" w:val="713"/>
        </w:trPr>
        <w:tc>
          <w:tcPr>
            <w:tcW w:w="3510" w:type="dxa"/>
            <w:tcBorders>
              <w:top w:val="double" w:sz="0" w:space="0" w:color="000000"/>
            </w:tcBorders>
          </w:tcPr>
          <w:p w:rsidR="00A92961" w:rsidRDefault="00327711">
            <w:pPr>
              <w:rPr>
                <w:sz w:val="28"/>
              </w:rPr>
            </w:pPr>
            <w:r>
              <w:rPr>
                <w:sz w:val="28"/>
              </w:rPr>
              <w:t>Принято в рабочем   порядке 31 января 2021 года  2020 г.</w:t>
            </w:r>
          </w:p>
        </w:tc>
        <w:tc>
          <w:tcPr>
            <w:tcW w:w="3544" w:type="dxa"/>
            <w:tcBorders>
              <w:top w:val="double" w:sz="0" w:space="0" w:color="000000"/>
            </w:tcBorders>
          </w:tcPr>
          <w:p w:rsidR="00A92961" w:rsidRDefault="003277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0" w:space="0" w:color="000000"/>
            </w:tcBorders>
          </w:tcPr>
          <w:p w:rsidR="00A92961" w:rsidRDefault="003277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№08</w:t>
            </w:r>
          </w:p>
        </w:tc>
      </w:tr>
    </w:tbl>
    <w:p w:rsidR="00A92961" w:rsidRDefault="00A92961">
      <w:pPr>
        <w:pStyle w:val="a5"/>
        <w:jc w:val="center"/>
        <w:rPr>
          <w:rFonts w:ascii="Times New Roman" w:hAnsi="Times New Roman"/>
          <w:b/>
          <w:sz w:val="28"/>
        </w:rPr>
      </w:pPr>
    </w:p>
    <w:p w:rsidR="00A92961" w:rsidRDefault="00327711">
      <w:pPr>
        <w:jc w:val="both"/>
        <w:rPr>
          <w:b/>
          <w:sz w:val="28"/>
        </w:rPr>
      </w:pPr>
      <w:r>
        <w:rPr>
          <w:b/>
          <w:sz w:val="28"/>
        </w:rPr>
        <w:t xml:space="preserve">Об итогах </w:t>
      </w:r>
      <w:proofErr w:type="gramStart"/>
      <w:r>
        <w:rPr>
          <w:b/>
          <w:sz w:val="28"/>
        </w:rPr>
        <w:t>правозащитной</w:t>
      </w:r>
      <w:proofErr w:type="gramEnd"/>
      <w:r>
        <w:rPr>
          <w:b/>
          <w:sz w:val="28"/>
        </w:rPr>
        <w:t xml:space="preserve"> </w:t>
      </w:r>
    </w:p>
    <w:p w:rsidR="00A92961" w:rsidRDefault="00327711">
      <w:pPr>
        <w:jc w:val="both"/>
        <w:rPr>
          <w:sz w:val="28"/>
          <w:u w:val="single"/>
        </w:rPr>
      </w:pPr>
      <w:r>
        <w:rPr>
          <w:b/>
          <w:sz w:val="28"/>
          <w:u w:val="single"/>
        </w:rPr>
        <w:t>деятельности за 2020 год</w:t>
      </w:r>
      <w:r>
        <w:rPr>
          <w:sz w:val="28"/>
          <w:u w:val="single"/>
        </w:rPr>
        <w:t xml:space="preserve"> </w:t>
      </w:r>
    </w:p>
    <w:p w:rsidR="00A92961" w:rsidRPr="001E77F3" w:rsidRDefault="001E77F3">
      <w:pPr>
        <w:jc w:val="both"/>
        <w:rPr>
          <w:sz w:val="28"/>
        </w:rPr>
      </w:pPr>
      <w:proofErr w:type="spellStart"/>
      <w:r w:rsidRPr="001E77F3">
        <w:rPr>
          <w:sz w:val="28"/>
        </w:rPr>
        <w:t>Антопольский</w:t>
      </w:r>
      <w:proofErr w:type="spellEnd"/>
      <w:r w:rsidRPr="001E77F3">
        <w:rPr>
          <w:sz w:val="28"/>
        </w:rPr>
        <w:t xml:space="preserve"> К.В.</w:t>
      </w:r>
    </w:p>
    <w:p w:rsidR="001E77F3" w:rsidRPr="001E77F3" w:rsidRDefault="001E77F3">
      <w:pPr>
        <w:jc w:val="both"/>
        <w:rPr>
          <w:sz w:val="28"/>
        </w:rPr>
      </w:pPr>
    </w:p>
    <w:p w:rsidR="00A92961" w:rsidRDefault="00327711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Президиум обкома Профсоюза отмечает, что в 2020 году, несмотря на ограничения, связанные с профилактикой распространения COVID-19, правозащитная деятельность профсоюзных организаций всех уровней осуществлялась по всем основным уставным направлениям. Обком Профсоюза, правовая инспекция труда оперативно адаптировали формы и методы работы к сложившимся условиям. </w:t>
      </w:r>
      <w:proofErr w:type="gramStart"/>
      <w:r>
        <w:rPr>
          <w:sz w:val="28"/>
        </w:rPr>
        <w:t xml:space="preserve">В  марте 2020 года на сайте областной организации появилась рубрика </w:t>
      </w:r>
      <w:r>
        <w:rPr>
          <w:sz w:val="28"/>
          <w:shd w:val="clear" w:color="auto" w:fill="FFFFFF"/>
        </w:rPr>
        <w:t>«Об особенностях работы в режиме повышенной готовности», а затем «Горячая линия», на которой размещались актуальные вопросы реализации трудового законодательства в данных условиях: рекомендации по регулированию трудовых отношений, изменению режима работы, сохранению оплаты труда при переходе на дистанционный и удаленный режимы работы;</w:t>
      </w:r>
      <w:proofErr w:type="gramEnd"/>
      <w:r>
        <w:rPr>
          <w:sz w:val="28"/>
          <w:shd w:val="clear" w:color="auto" w:fill="FFFFFF"/>
        </w:rPr>
        <w:t xml:space="preserve"> по обеспечению самоизоляции работников в возрасте старше 65 лет и</w:t>
      </w:r>
      <w:r>
        <w:rPr>
          <w:color w:val="4F81BD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выплатам им пособий по временной нетрудоспособности;</w:t>
      </w:r>
      <w:r>
        <w:rPr>
          <w:color w:val="4F81BD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по предоставлению отпусков работникам образовательных организаций; по аттестации педагогических кадров в сложившихся условиях; по использованию дистанционных технологий в обучении школьников и студентов; по оформлению табеля рабочего времени и другим многочисленным </w:t>
      </w:r>
      <w:r>
        <w:rPr>
          <w:color w:val="4F81BD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вопросам. </w:t>
      </w:r>
      <w:r>
        <w:rPr>
          <w:sz w:val="28"/>
        </w:rPr>
        <w:t>В территориальные и первичные профсоюзные организации областного подчинения, в органы управления в сфере образования и руководителям образовательных организаций направлялись информационные письма и разъяснения. Материалы по правовой работе также регулярно размещались на сайте обкома Профсоюза в рубрике «Права работников», а также в разделе «Важные документы».</w:t>
      </w:r>
    </w:p>
    <w:p w:rsidR="00A92961" w:rsidRDefault="00327711">
      <w:pPr>
        <w:widowControl w:val="0"/>
        <w:ind w:firstLine="425"/>
        <w:contextualSpacing/>
        <w:jc w:val="both"/>
        <w:rPr>
          <w:sz w:val="28"/>
        </w:rPr>
      </w:pPr>
      <w:r>
        <w:rPr>
          <w:sz w:val="28"/>
        </w:rPr>
        <w:t>В мае 2020 года на пленуме обкома Профсоюза рассмотрен вопрос «О действиях профсоюзных организаций отрасли по реализации уставных задач Профсоюза в условиях режима повышенной готовности, связанного с распространением новой коронавирусной инфекции».</w:t>
      </w:r>
    </w:p>
    <w:p w:rsidR="00A92961" w:rsidRDefault="00327711">
      <w:pPr>
        <w:widowControl w:val="0"/>
        <w:ind w:firstLine="425"/>
        <w:contextualSpacing/>
        <w:jc w:val="both"/>
        <w:rPr>
          <w:sz w:val="28"/>
        </w:rPr>
      </w:pPr>
      <w:r>
        <w:rPr>
          <w:sz w:val="28"/>
        </w:rPr>
        <w:t xml:space="preserve">Практика проверок  образовательных организаций по осуществлению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работодателями трудового законодательства и иных актов, содержащих нормы трудового права осуществлялась правовой инспекцией на основе изучения документов, находящихся в открытом доступе, а также полученных на основании запроса, анкет, опроса председателей, ответственных лиц и руководителей учреждений. Всего проведена </w:t>
      </w:r>
      <w:r>
        <w:rPr>
          <w:b/>
          <w:sz w:val="28"/>
        </w:rPr>
        <w:t xml:space="preserve">371 </w:t>
      </w:r>
      <w:r>
        <w:rPr>
          <w:sz w:val="28"/>
        </w:rPr>
        <w:t xml:space="preserve">проверка, в ходе которых было выявлено </w:t>
      </w:r>
      <w:r>
        <w:rPr>
          <w:b/>
          <w:sz w:val="28"/>
        </w:rPr>
        <w:t>257</w:t>
      </w:r>
      <w:r>
        <w:rPr>
          <w:sz w:val="28"/>
        </w:rPr>
        <w:t xml:space="preserve"> нарушений трудового законодательства, направлено </w:t>
      </w:r>
      <w:r>
        <w:rPr>
          <w:b/>
          <w:sz w:val="28"/>
        </w:rPr>
        <w:t>98</w:t>
      </w:r>
      <w:r>
        <w:rPr>
          <w:sz w:val="28"/>
        </w:rPr>
        <w:t xml:space="preserve"> </w:t>
      </w:r>
      <w:r>
        <w:rPr>
          <w:sz w:val="28"/>
        </w:rPr>
        <w:lastRenderedPageBreak/>
        <w:t xml:space="preserve">представлений  об их устранении работодателям, </w:t>
      </w:r>
      <w:r>
        <w:rPr>
          <w:b/>
          <w:sz w:val="28"/>
        </w:rPr>
        <w:t xml:space="preserve">248 </w:t>
      </w:r>
      <w:r>
        <w:rPr>
          <w:sz w:val="28"/>
        </w:rPr>
        <w:t xml:space="preserve"> нарушений устранено в установленные сроки.</w:t>
      </w:r>
    </w:p>
    <w:p w:rsidR="00A92961" w:rsidRDefault="00327711">
      <w:pPr>
        <w:pStyle w:val="af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В период с 16 ноября по 16 декабря 2020 года проведена региональная профсоюзная  тематическая проверка по теме «Соблюдение трудового законодательства при заключении и осуществлении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 коллективных договоров в образовательных организациях» (РТП-2020). Изучена работа </w:t>
      </w:r>
      <w:r>
        <w:rPr>
          <w:b/>
          <w:sz w:val="28"/>
        </w:rPr>
        <w:t xml:space="preserve">178 </w:t>
      </w:r>
      <w:r>
        <w:rPr>
          <w:sz w:val="28"/>
        </w:rPr>
        <w:t xml:space="preserve">образовательных организаций (дошкольного образования - 43, общего образования - 118,дополнительного образования - 12, среднего профессионального образования - 2, иные - 3), из них </w:t>
      </w:r>
      <w:r>
        <w:rPr>
          <w:b/>
          <w:sz w:val="28"/>
        </w:rPr>
        <w:t>25</w:t>
      </w:r>
      <w:r>
        <w:rPr>
          <w:sz w:val="28"/>
        </w:rPr>
        <w:t xml:space="preserve"> – совместно с органами, осуществляющими управление в сфере образования. У</w:t>
      </w:r>
      <w:r>
        <w:rPr>
          <w:color w:val="000000"/>
          <w:sz w:val="28"/>
        </w:rPr>
        <w:t xml:space="preserve">становлено, что </w:t>
      </w:r>
      <w:r>
        <w:rPr>
          <w:sz w:val="28"/>
        </w:rPr>
        <w:t xml:space="preserve">во всех проверенных образовательных организациях заключены коллективные договоры с соблюдением требований Трудового кодекса РФ и рекомендаций, содержащихся в Макетах коллективных договоров образовательных организаций всех типов и видов, разработанных обкомом Профсоюза в 2019 году; в подавляющем большинстве организаций созданы и действуют комиссии по регулированию социально-трудовых отношений. Случаев уклонения работодателя от участия в коллективных переговорах по заключению, изменению коллективных договоров или неправомерных отказов от его подписания, а также случаев привлечения к дисциплинарной ответственности лиц, участвующих в коллективных переговорах и подготовке проекта коллективного договора, без соответствующего предварительного согласия органа, уполномочившего их на представительство, не выявлено. </w:t>
      </w:r>
    </w:p>
    <w:p w:rsidR="00A92961" w:rsidRDefault="00327711">
      <w:pPr>
        <w:pStyle w:val="af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</w:rPr>
      </w:pPr>
      <w:proofErr w:type="gramStart"/>
      <w:r>
        <w:rPr>
          <w:sz w:val="28"/>
        </w:rPr>
        <w:t xml:space="preserve">Тем не менее, в ходе проверки выявлено </w:t>
      </w:r>
      <w:r>
        <w:rPr>
          <w:b/>
          <w:sz w:val="28"/>
        </w:rPr>
        <w:t>126</w:t>
      </w:r>
      <w:r>
        <w:rPr>
          <w:sz w:val="28"/>
        </w:rPr>
        <w:t xml:space="preserve"> нарушений трудового законодательства при заключении и осуществлении контроля за выполнением коллективных договоров в образовательных организациях (например,  нарушение принципа паритетности сторон состава комиссии по регулированию социально-трудовых отношений, отсутствие актов о проведении контроля за выполнением коллективного договора, несвоевременное размещение на сайте образовательной организации и  некоторые другие), направлено работодателям </w:t>
      </w:r>
      <w:r>
        <w:rPr>
          <w:b/>
          <w:sz w:val="28"/>
        </w:rPr>
        <w:t>85</w:t>
      </w:r>
      <w:r>
        <w:rPr>
          <w:sz w:val="28"/>
        </w:rPr>
        <w:t xml:space="preserve"> представлений об устранении выявленных нарушений.</w:t>
      </w:r>
      <w:r>
        <w:rPr>
          <w:sz w:val="28"/>
          <w:shd w:val="clear" w:color="auto" w:fill="FFFFFF"/>
        </w:rPr>
        <w:t xml:space="preserve"> </w:t>
      </w:r>
      <w:proofErr w:type="gramEnd"/>
    </w:p>
    <w:p w:rsidR="00A92961" w:rsidRDefault="00327711">
      <w:pPr>
        <w:shd w:val="clear" w:color="auto" w:fill="FFFFFF"/>
        <w:spacing w:before="5"/>
        <w:ind w:left="24" w:firstLine="696"/>
        <w:contextualSpacing/>
        <w:jc w:val="both"/>
        <w:rPr>
          <w:sz w:val="28"/>
        </w:rPr>
      </w:pPr>
      <w:r>
        <w:rPr>
          <w:sz w:val="28"/>
        </w:rPr>
        <w:t xml:space="preserve"> За отчетный период 2020 года правовой инспекцией была оказана помощь членам Профсоюза, профсоюзным организациям в </w:t>
      </w:r>
      <w:r>
        <w:rPr>
          <w:b/>
          <w:sz w:val="28"/>
        </w:rPr>
        <w:t xml:space="preserve">876 </w:t>
      </w:r>
      <w:r>
        <w:rPr>
          <w:sz w:val="28"/>
        </w:rPr>
        <w:t xml:space="preserve">случаях.  В частности, в разработке соглашений, коллективных договоров учреждений, других локальных нормативных актов – </w:t>
      </w:r>
      <w:r>
        <w:rPr>
          <w:b/>
          <w:sz w:val="28"/>
        </w:rPr>
        <w:t xml:space="preserve">428. </w:t>
      </w:r>
      <w:r>
        <w:rPr>
          <w:sz w:val="28"/>
        </w:rPr>
        <w:t xml:space="preserve">Составлено </w:t>
      </w:r>
      <w:r>
        <w:rPr>
          <w:b/>
          <w:sz w:val="28"/>
        </w:rPr>
        <w:t xml:space="preserve">89 </w:t>
      </w:r>
      <w:r>
        <w:rPr>
          <w:sz w:val="28"/>
        </w:rPr>
        <w:t xml:space="preserve">материалов в судебные органы Курской области.  </w:t>
      </w:r>
    </w:p>
    <w:p w:rsidR="00A92961" w:rsidRDefault="00327711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Проведена экспертиза  </w:t>
      </w:r>
      <w:r>
        <w:rPr>
          <w:b/>
          <w:sz w:val="28"/>
        </w:rPr>
        <w:t>40</w:t>
      </w:r>
      <w:r>
        <w:rPr>
          <w:sz w:val="28"/>
        </w:rPr>
        <w:t xml:space="preserve"> проектов законов и иных нормативных правовых актов, а также экспертиза </w:t>
      </w:r>
      <w:r>
        <w:rPr>
          <w:b/>
          <w:sz w:val="28"/>
        </w:rPr>
        <w:t xml:space="preserve">482 </w:t>
      </w:r>
      <w:r>
        <w:rPr>
          <w:sz w:val="28"/>
        </w:rPr>
        <w:t xml:space="preserve">коллективных договоров организаций и дополнений к ним, </w:t>
      </w:r>
      <w:r>
        <w:rPr>
          <w:b/>
          <w:sz w:val="28"/>
        </w:rPr>
        <w:t>9</w:t>
      </w:r>
      <w:r>
        <w:rPr>
          <w:sz w:val="28"/>
        </w:rPr>
        <w:t xml:space="preserve"> территориальных отраслевых соглашений по регулированию социально-трудовых отношений в системе образования и </w:t>
      </w:r>
      <w:r>
        <w:rPr>
          <w:b/>
          <w:sz w:val="28"/>
        </w:rPr>
        <w:t>758</w:t>
      </w:r>
      <w:r>
        <w:rPr>
          <w:sz w:val="28"/>
        </w:rPr>
        <w:t xml:space="preserve"> локальных нормативных актов образовательных организаций.</w:t>
      </w:r>
    </w:p>
    <w:p w:rsidR="00A92961" w:rsidRDefault="00327711">
      <w:pPr>
        <w:widowControl w:val="0"/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В 2020 году в организации Профсоюза   обратилось </w:t>
      </w:r>
      <w:r>
        <w:rPr>
          <w:b/>
          <w:sz w:val="28"/>
        </w:rPr>
        <w:t>8573</w:t>
      </w:r>
      <w:r>
        <w:rPr>
          <w:sz w:val="28"/>
        </w:rPr>
        <w:t xml:space="preserve"> человека, что значительно больше, чем в среднем ранее в год,   по самым различным вопросам, многие из которых связаны с изменениями в условиях труда в связи с профилактикой COVID-19. Всем им была оказана необходимая квалифицированная юридическая помощь в форме консультаций. Рассмотрено </w:t>
      </w:r>
      <w:r>
        <w:rPr>
          <w:b/>
          <w:sz w:val="28"/>
        </w:rPr>
        <w:t>112</w:t>
      </w:r>
      <w:r>
        <w:rPr>
          <w:sz w:val="28"/>
        </w:rPr>
        <w:t xml:space="preserve"> жалоб и обращений, на которые в установленные сроки  даны письменные ответы.</w:t>
      </w:r>
    </w:p>
    <w:p w:rsidR="00A92961" w:rsidRDefault="00327711">
      <w:pPr>
        <w:ind w:firstLine="708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В течение 2020 года в разных формах (до апреля – в очной форме, в период с апреля по декабрь – в режиме онлайн)  проводилось обучение внештатных правовых инспекторов труда, председателей территориальных и первичных профсоюзных организаций, членов Молодежных советов и других категорий профактива, руководителей образовательных </w:t>
      </w:r>
      <w:proofErr w:type="gramStart"/>
      <w:r>
        <w:rPr>
          <w:sz w:val="28"/>
        </w:rPr>
        <w:t>организаций</w:t>
      </w:r>
      <w:proofErr w:type="gramEnd"/>
      <w:r>
        <w:rPr>
          <w:sz w:val="28"/>
        </w:rPr>
        <w:t xml:space="preserve"> в рамках постоянно действующих семинаров и других мероприятий по следующим вопросам: соблюдение трудового законодательства при заключении и </w:t>
      </w:r>
      <w:proofErr w:type="gramStart"/>
      <w:r>
        <w:rPr>
          <w:sz w:val="28"/>
        </w:rPr>
        <w:t>изменении трудовых договоров с работниками образовательных организаций; соблюдение трудового законодательства при определении и изменении учебной нагрузки; социальные гарантии и льготы, меры социальной поддержки  выпускникам, окончившим образовательные организации высшего образования и (или) профессиональные организации; правовой ликбез;</w:t>
      </w:r>
      <w:r>
        <w:rPr>
          <w:sz w:val="28"/>
          <w:shd w:val="clear" w:color="auto" w:fill="FFFFFF"/>
        </w:rPr>
        <w:t xml:space="preserve"> профилактика нарушений прав и минимизации социальных рисков для работников и работодателей при реализации трудового законодательства;</w:t>
      </w:r>
      <w:proofErr w:type="gramEnd"/>
      <w:r>
        <w:rPr>
          <w:sz w:val="28"/>
          <w:shd w:val="clear" w:color="auto" w:fill="FFFFFF"/>
        </w:rPr>
        <w:t xml:space="preserve">  типичные нарушения  трудового законодательства, выявляемые при проверках образовательных организаций; методика р</w:t>
      </w:r>
      <w:r>
        <w:rPr>
          <w:sz w:val="28"/>
        </w:rPr>
        <w:t>асчета экономической эффективности правозащитной деятельности;</w:t>
      </w:r>
      <w:r>
        <w:rPr>
          <w:sz w:val="28"/>
          <w:shd w:val="clear" w:color="auto" w:fill="FFFFFF"/>
        </w:rPr>
        <w:t xml:space="preserve"> </w:t>
      </w:r>
      <w:r>
        <w:rPr>
          <w:sz w:val="28"/>
        </w:rPr>
        <w:t>предоставление в органы юстиции информации о продолжении деятельности общественного объединения и т.д.</w:t>
      </w:r>
    </w:p>
    <w:p w:rsidR="00A92961" w:rsidRDefault="00327711">
      <w:pPr>
        <w:ind w:firstLine="708"/>
        <w:contextualSpacing/>
        <w:jc w:val="both"/>
        <w:rPr>
          <w:sz w:val="28"/>
        </w:rPr>
      </w:pPr>
      <w:proofErr w:type="gramStart"/>
      <w:r>
        <w:rPr>
          <w:sz w:val="28"/>
        </w:rPr>
        <w:t>В  2020 году подготовлены и направлены в каждую территориальную и первичную профсоюзную организацию  электронный сборник  методических материалов по проведению РТП-2020 «Соблюдение трудового законодательства при заключении и осуществлении контроля за выполнением коллективных договоров в образовательных организациях»</w:t>
      </w:r>
      <w:r>
        <w:rPr>
          <w:sz w:val="28"/>
          <w:shd w:val="clear" w:color="auto" w:fill="FFFFFF"/>
        </w:rPr>
        <w:t>,</w:t>
      </w:r>
      <w:r>
        <w:rPr>
          <w:sz w:val="28"/>
        </w:rPr>
        <w:t xml:space="preserve"> информационный листок «Разъяснения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и Профсоюза по регулированию рабочего времени учителя-логопеда», информационный листок «Новый документ в сфере образования-приказ Министерства просвещения РФ от 18.09.2020 г</w:t>
      </w:r>
      <w:proofErr w:type="gramEnd"/>
      <w:r>
        <w:rPr>
          <w:sz w:val="28"/>
        </w:rPr>
        <w:t>. № 508 «Об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программам»,  обновлена  памятка «Молодой учитель, знай свои права!».</w:t>
      </w:r>
    </w:p>
    <w:p w:rsidR="00A92961" w:rsidRDefault="00327711">
      <w:pPr>
        <w:ind w:firstLine="708"/>
        <w:contextualSpacing/>
        <w:jc w:val="both"/>
        <w:rPr>
          <w:sz w:val="28"/>
        </w:rPr>
      </w:pPr>
      <w:proofErr w:type="gramStart"/>
      <w:r>
        <w:rPr>
          <w:sz w:val="28"/>
        </w:rPr>
        <w:t xml:space="preserve">На  заседаниях президиума обкома Профсоюза в феврале рассмотрены  вопросы «О результатах региональной тематической проверки «Соблюдение трудового законодательства при заключении и изменении трудовых договоров с работниками образовательных организаций» и «Об итогах правозащитной деятельности за 2019 г.», в марте - «О повышении эффективности работы территориальных организаций профсоюза </w:t>
      </w:r>
      <w:proofErr w:type="spellStart"/>
      <w:r>
        <w:rPr>
          <w:sz w:val="28"/>
        </w:rPr>
        <w:t>Мантуровского</w:t>
      </w:r>
      <w:proofErr w:type="spellEnd"/>
      <w:r>
        <w:rPr>
          <w:sz w:val="28"/>
        </w:rPr>
        <w:t xml:space="preserve">  и Советского районов Курской области по представительству и защите социально-трудовых прав и интересов работников образовательных</w:t>
      </w:r>
      <w:proofErr w:type="gramEnd"/>
      <w:r>
        <w:rPr>
          <w:sz w:val="28"/>
        </w:rPr>
        <w:t xml:space="preserve"> организаций, мотивации профсоюзного членства»; в мае - «О совместной работе органов, осуществляющих управление в сфере образования, руководителей образовательных учреждений и профсоюзных организаций </w:t>
      </w:r>
      <w:proofErr w:type="spellStart"/>
      <w:r>
        <w:rPr>
          <w:sz w:val="28"/>
        </w:rPr>
        <w:t>Обоянского</w:t>
      </w:r>
      <w:proofErr w:type="spellEnd"/>
      <w:r>
        <w:rPr>
          <w:sz w:val="28"/>
        </w:rPr>
        <w:t xml:space="preserve"> района Курской области по соблюдению трудового законодательства»; </w:t>
      </w:r>
      <w:proofErr w:type="gramStart"/>
      <w:r>
        <w:rPr>
          <w:sz w:val="28"/>
        </w:rPr>
        <w:t xml:space="preserve">в июне – «О реализации образовательными организациями, органами муниципальной власти полномочий по оплате труда, созданию условий для стимулирования труда работников и привлечения молодых педагогов в образовательные организации </w:t>
      </w:r>
      <w:proofErr w:type="spellStart"/>
      <w:r>
        <w:rPr>
          <w:sz w:val="28"/>
        </w:rPr>
        <w:t>Черемисиновского</w:t>
      </w:r>
      <w:proofErr w:type="spellEnd"/>
      <w:r>
        <w:rPr>
          <w:sz w:val="28"/>
        </w:rPr>
        <w:t xml:space="preserve">  и Октябрьского районов Курской области»; в сентябре – «О проведении Региональной профсоюзной тематической проверки на тему «Соблюдение трудового законодательства при заключении и осуществлении контроля за выполнением коллективных договоров </w:t>
      </w:r>
      <w:r>
        <w:rPr>
          <w:sz w:val="28"/>
        </w:rPr>
        <w:lastRenderedPageBreak/>
        <w:t>в образовательных организациях».</w:t>
      </w:r>
      <w:proofErr w:type="gramEnd"/>
      <w:r>
        <w:rPr>
          <w:sz w:val="28"/>
        </w:rPr>
        <w:t xml:space="preserve"> Вопросы  правозащитной работы выборными коллегиальными органами организаций Профсоюза области рассматривались 109  раз. </w:t>
      </w:r>
    </w:p>
    <w:p w:rsidR="00A92961" w:rsidRDefault="00327711">
      <w:pPr>
        <w:widowControl w:val="0"/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В результате </w:t>
      </w:r>
      <w:proofErr w:type="gramStart"/>
      <w:r>
        <w:rPr>
          <w:sz w:val="28"/>
        </w:rPr>
        <w:t>работы правовой инспекции труда  Курской областной организации Профсоюза</w:t>
      </w:r>
      <w:proofErr w:type="gramEnd"/>
      <w:r>
        <w:rPr>
          <w:sz w:val="28"/>
        </w:rPr>
        <w:t xml:space="preserve"> в 2020 году  экономическая эффективность составила </w:t>
      </w:r>
      <w:r>
        <w:rPr>
          <w:b/>
          <w:sz w:val="28"/>
        </w:rPr>
        <w:t>33 255 000</w:t>
      </w:r>
      <w:r>
        <w:rPr>
          <w:sz w:val="28"/>
        </w:rPr>
        <w:t xml:space="preserve"> рублей.  Наиболее эффективно в данном направлении работают  Курская городская организация, </w:t>
      </w:r>
      <w:proofErr w:type="spellStart"/>
      <w:r>
        <w:rPr>
          <w:sz w:val="28"/>
        </w:rPr>
        <w:t>Железногорская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Беловская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Большесолдатская</w:t>
      </w:r>
      <w:proofErr w:type="spellEnd"/>
      <w:r>
        <w:rPr>
          <w:sz w:val="28"/>
        </w:rPr>
        <w:t xml:space="preserve"> территориальные организации. </w:t>
      </w:r>
    </w:p>
    <w:p w:rsidR="00A92961" w:rsidRDefault="00327711">
      <w:pPr>
        <w:contextualSpacing/>
        <w:jc w:val="both"/>
        <w:rPr>
          <w:sz w:val="28"/>
        </w:rPr>
      </w:pPr>
      <w:r>
        <w:rPr>
          <w:sz w:val="28"/>
        </w:rPr>
        <w:tab/>
        <w:t xml:space="preserve">Однако в работе правовой инспекции труда имеются недостатки и нерешённые проблемы. </w:t>
      </w:r>
      <w:proofErr w:type="gramStart"/>
      <w:r>
        <w:rPr>
          <w:sz w:val="28"/>
        </w:rPr>
        <w:t xml:space="preserve">В некоторых районах  внештатными правовыми инспекторами труда </w:t>
      </w:r>
      <w:r w:rsidRPr="00327711">
        <w:rPr>
          <w:sz w:val="28"/>
        </w:rPr>
        <w:t>не в полном объеме</w:t>
      </w:r>
      <w:r>
        <w:rPr>
          <w:sz w:val="28"/>
        </w:rPr>
        <w:t xml:space="preserve"> проводятся проверки и осуществляется контроль за исполнением трудового законодательства в образовательных организациях, отсутствует  взаимодействие со специалистами Государственной инспекции труда по Курской области, органами управления в сфере образования, не  всегда выявляются нарушения трудового законодательства, а также должным образом не оформляются представления работодателям, что сказывается как на результатах проводимых проверок, так</w:t>
      </w:r>
      <w:proofErr w:type="gramEnd"/>
      <w:r>
        <w:rPr>
          <w:sz w:val="28"/>
        </w:rPr>
        <w:t xml:space="preserve"> и в целом  правовой работы.</w:t>
      </w:r>
    </w:p>
    <w:p w:rsidR="00A92961" w:rsidRDefault="00327711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В практике работы внештатных правовых инспекторов труда редко используется проведение комплексных проверок трудового законодательства  образовательных организаций. Экономическая эффективность </w:t>
      </w:r>
      <w:r>
        <w:rPr>
          <w:b/>
          <w:sz w:val="28"/>
        </w:rPr>
        <w:t>0</w:t>
      </w:r>
      <w:r>
        <w:rPr>
          <w:sz w:val="28"/>
        </w:rPr>
        <w:t xml:space="preserve"> рублей составила в </w:t>
      </w:r>
      <w:proofErr w:type="spellStart"/>
      <w:r>
        <w:rPr>
          <w:sz w:val="28"/>
        </w:rPr>
        <w:t>Кореневской</w:t>
      </w:r>
      <w:proofErr w:type="spellEnd"/>
      <w:r>
        <w:rPr>
          <w:sz w:val="28"/>
        </w:rPr>
        <w:t xml:space="preserve">, Дмитриевской, </w:t>
      </w:r>
      <w:proofErr w:type="spellStart"/>
      <w:r>
        <w:rPr>
          <w:sz w:val="28"/>
        </w:rPr>
        <w:t>Суджанской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Хомутовской</w:t>
      </w:r>
      <w:proofErr w:type="spellEnd"/>
      <w:r>
        <w:rPr>
          <w:sz w:val="28"/>
        </w:rPr>
        <w:t xml:space="preserve"> территориальных организациях. Несмотря на проведение проверок трудового законодательства, не выявлено нарушений трудового законодательства в </w:t>
      </w:r>
      <w:proofErr w:type="spellStart"/>
      <w:r>
        <w:rPr>
          <w:sz w:val="28"/>
        </w:rPr>
        <w:t>Кореневской</w:t>
      </w:r>
      <w:proofErr w:type="spellEnd"/>
      <w:r>
        <w:rPr>
          <w:sz w:val="28"/>
        </w:rPr>
        <w:t xml:space="preserve">, Дмитриевской, </w:t>
      </w:r>
      <w:proofErr w:type="spellStart"/>
      <w:r>
        <w:rPr>
          <w:sz w:val="28"/>
        </w:rPr>
        <w:t>Суджанской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Конышевской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Хомутовской</w:t>
      </w:r>
      <w:proofErr w:type="spellEnd"/>
      <w:r>
        <w:rPr>
          <w:sz w:val="28"/>
        </w:rPr>
        <w:t xml:space="preserve"> территориальных организациях.</w:t>
      </w:r>
    </w:p>
    <w:p w:rsidR="00A92961" w:rsidRDefault="00327711">
      <w:pPr>
        <w:contextualSpacing/>
        <w:jc w:val="both"/>
        <w:rPr>
          <w:sz w:val="28"/>
        </w:rPr>
      </w:pPr>
      <w:r>
        <w:rPr>
          <w:sz w:val="28"/>
        </w:rPr>
        <w:tab/>
      </w:r>
    </w:p>
    <w:p w:rsidR="00A92961" w:rsidRDefault="00327711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Президиум обкома профсоюза  </w:t>
      </w:r>
    </w:p>
    <w:p w:rsidR="00A92961" w:rsidRDefault="00327711">
      <w:pPr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A92961" w:rsidRDefault="00327711">
      <w:pPr>
        <w:ind w:firstLine="708"/>
        <w:contextualSpacing/>
        <w:jc w:val="both"/>
        <w:rPr>
          <w:sz w:val="28"/>
        </w:rPr>
      </w:pPr>
      <w:r>
        <w:rPr>
          <w:sz w:val="28"/>
        </w:rPr>
        <w:t>1.Отчёт по правозащитной работе за 2020 год утвердить (Приложение 1).</w:t>
      </w:r>
    </w:p>
    <w:p w:rsidR="00A92961" w:rsidRDefault="00327711">
      <w:pPr>
        <w:ind w:firstLine="708"/>
        <w:contextualSpacing/>
        <w:jc w:val="both"/>
        <w:rPr>
          <w:sz w:val="28"/>
        </w:rPr>
      </w:pPr>
      <w:proofErr w:type="gramStart"/>
      <w:r>
        <w:rPr>
          <w:sz w:val="28"/>
        </w:rPr>
        <w:t xml:space="preserve">2.Отметить целенаправленную работу по осуществлению контроля за выполнением трудового законодательства председателей профсоюзных организаций, внештатных правовых инспекторов труда, Курской городской организации (председатель </w:t>
      </w:r>
      <w:proofErr w:type="spellStart"/>
      <w:r>
        <w:rPr>
          <w:sz w:val="28"/>
        </w:rPr>
        <w:t>Боева</w:t>
      </w:r>
      <w:proofErr w:type="spellEnd"/>
      <w:r>
        <w:rPr>
          <w:sz w:val="28"/>
        </w:rPr>
        <w:t xml:space="preserve"> М.В., внештатные правовые инспекторы </w:t>
      </w:r>
      <w:proofErr w:type="spellStart"/>
      <w:r>
        <w:rPr>
          <w:sz w:val="28"/>
        </w:rPr>
        <w:t>Кобцева</w:t>
      </w:r>
      <w:proofErr w:type="spellEnd"/>
      <w:r>
        <w:rPr>
          <w:sz w:val="28"/>
        </w:rPr>
        <w:t xml:space="preserve"> О.В., </w:t>
      </w:r>
      <w:proofErr w:type="spellStart"/>
      <w:r>
        <w:rPr>
          <w:sz w:val="28"/>
        </w:rPr>
        <w:t>Голобокова</w:t>
      </w:r>
      <w:proofErr w:type="spellEnd"/>
      <w:r>
        <w:rPr>
          <w:sz w:val="28"/>
        </w:rPr>
        <w:t xml:space="preserve"> О.А., </w:t>
      </w:r>
      <w:proofErr w:type="spellStart"/>
      <w:r>
        <w:rPr>
          <w:sz w:val="28"/>
        </w:rPr>
        <w:t>Дремова</w:t>
      </w:r>
      <w:proofErr w:type="spellEnd"/>
      <w:r>
        <w:rPr>
          <w:sz w:val="28"/>
        </w:rPr>
        <w:t xml:space="preserve"> А.А.),  территориальных организаций - </w:t>
      </w:r>
      <w:proofErr w:type="spellStart"/>
      <w:r>
        <w:rPr>
          <w:sz w:val="28"/>
        </w:rPr>
        <w:t>Железногорской</w:t>
      </w:r>
      <w:proofErr w:type="spellEnd"/>
      <w:r>
        <w:rPr>
          <w:sz w:val="28"/>
        </w:rPr>
        <w:t xml:space="preserve"> (председатель Гнездилова Г.Г.,  внештатные правовые инспекторы </w:t>
      </w:r>
      <w:proofErr w:type="spellStart"/>
      <w:r>
        <w:rPr>
          <w:sz w:val="28"/>
        </w:rPr>
        <w:t>Кутарева</w:t>
      </w:r>
      <w:proofErr w:type="spellEnd"/>
      <w:r>
        <w:rPr>
          <w:sz w:val="28"/>
        </w:rPr>
        <w:t xml:space="preserve"> И.П., Медведева Т.В., </w:t>
      </w:r>
      <w:proofErr w:type="spellStart"/>
      <w:r>
        <w:rPr>
          <w:sz w:val="28"/>
        </w:rPr>
        <w:t>Пантюхова</w:t>
      </w:r>
      <w:proofErr w:type="spellEnd"/>
      <w:r>
        <w:rPr>
          <w:sz w:val="28"/>
        </w:rPr>
        <w:t xml:space="preserve"> В.И.), </w:t>
      </w:r>
      <w:proofErr w:type="spellStart"/>
      <w:r>
        <w:rPr>
          <w:sz w:val="28"/>
        </w:rPr>
        <w:t>Большесолдатской</w:t>
      </w:r>
      <w:proofErr w:type="spellEnd"/>
      <w:r>
        <w:rPr>
          <w:sz w:val="28"/>
        </w:rPr>
        <w:t xml:space="preserve"> (председатель Сухорукова Н.</w:t>
      </w:r>
      <w:proofErr w:type="gramEnd"/>
      <w:r>
        <w:rPr>
          <w:sz w:val="28"/>
        </w:rPr>
        <w:t xml:space="preserve">Н., внештатный правовой инспектор </w:t>
      </w:r>
      <w:r>
        <w:rPr>
          <w:color w:val="000000"/>
          <w:sz w:val="28"/>
        </w:rPr>
        <w:t>Лазаренко С.В.</w:t>
      </w:r>
      <w:r>
        <w:rPr>
          <w:sz w:val="28"/>
        </w:rPr>
        <w:t xml:space="preserve">), </w:t>
      </w:r>
      <w:proofErr w:type="spellStart"/>
      <w:r>
        <w:rPr>
          <w:sz w:val="28"/>
        </w:rPr>
        <w:t>Беловской</w:t>
      </w:r>
      <w:proofErr w:type="spellEnd"/>
      <w:r>
        <w:rPr>
          <w:sz w:val="28"/>
        </w:rPr>
        <w:t xml:space="preserve"> (председатель Курбатов А.Н., внештатный правовой инспектор </w:t>
      </w:r>
      <w:proofErr w:type="spellStart"/>
      <w:r>
        <w:rPr>
          <w:color w:val="000000"/>
          <w:sz w:val="28"/>
        </w:rPr>
        <w:t>Великодский</w:t>
      </w:r>
      <w:proofErr w:type="spellEnd"/>
      <w:r>
        <w:rPr>
          <w:color w:val="000000"/>
          <w:sz w:val="28"/>
        </w:rPr>
        <w:t xml:space="preserve"> А.С.</w:t>
      </w:r>
      <w:r>
        <w:rPr>
          <w:sz w:val="28"/>
        </w:rPr>
        <w:t>).</w:t>
      </w:r>
    </w:p>
    <w:p w:rsidR="00A92961" w:rsidRDefault="00327711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3. Обкому Профсоюза, территориальным профсоюзным организациям, правовой инспекции труда обкома Профсоюза: </w:t>
      </w:r>
    </w:p>
    <w:p w:rsidR="00A92961" w:rsidRDefault="00327711">
      <w:pPr>
        <w:contextualSpacing/>
        <w:jc w:val="both"/>
        <w:rPr>
          <w:sz w:val="28"/>
        </w:rPr>
      </w:pPr>
      <w:r>
        <w:rPr>
          <w:sz w:val="28"/>
        </w:rPr>
        <w:t xml:space="preserve"> •</w:t>
      </w:r>
      <w:r>
        <w:rPr>
          <w:sz w:val="28"/>
        </w:rPr>
        <w:tab/>
        <w:t xml:space="preserve">регулярно осуществлять контроль за выполнением </w:t>
      </w:r>
      <w:proofErr w:type="gramStart"/>
      <w:r>
        <w:rPr>
          <w:sz w:val="28"/>
        </w:rPr>
        <w:t>трудового</w:t>
      </w:r>
      <w:proofErr w:type="gramEnd"/>
      <w:r>
        <w:rPr>
          <w:sz w:val="28"/>
        </w:rPr>
        <w:t xml:space="preserve"> законодательств в образовательных организациях области;</w:t>
      </w:r>
    </w:p>
    <w:p w:rsidR="00A92961" w:rsidRDefault="00327711">
      <w:pPr>
        <w:contextualSpacing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в случае выявления нарушений трудового законодательства добиваться обязательного оформления и выполнения работодателями представлений и требований правовой инспекции труда обкома профсоюза;</w:t>
      </w:r>
    </w:p>
    <w:p w:rsidR="00A92961" w:rsidRDefault="00327711">
      <w:pPr>
        <w:contextualSpacing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принимать участие в подготовке и экспертизе законодательных актов, нормативно-правовых документов отрасли, затрагивающих интересы работников;</w:t>
      </w:r>
    </w:p>
    <w:p w:rsidR="00A92961" w:rsidRDefault="00327711">
      <w:pPr>
        <w:contextualSpacing/>
        <w:jc w:val="both"/>
        <w:rPr>
          <w:sz w:val="28"/>
        </w:rPr>
      </w:pPr>
      <w:r>
        <w:rPr>
          <w:sz w:val="28"/>
        </w:rPr>
        <w:lastRenderedPageBreak/>
        <w:t>•</w:t>
      </w:r>
      <w:r>
        <w:rPr>
          <w:sz w:val="28"/>
        </w:rPr>
        <w:tab/>
        <w:t>вести строгий учёт экономической эффективности правозащитной деятельности в соответствии с рекомендациями ЦС Профсоюза;</w:t>
      </w:r>
    </w:p>
    <w:p w:rsidR="00A92961" w:rsidRDefault="00327711">
      <w:pPr>
        <w:contextualSpacing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 регулярно информировать профсоюзный актив, членов Профсоюза о результатах правозащитной работы.</w:t>
      </w:r>
    </w:p>
    <w:p w:rsidR="00A92961" w:rsidRDefault="00327711">
      <w:pPr>
        <w:contextualSpacing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регулярно осуществлять сбор и анализ судебной практики по защите интересов работников, при необходимости - представительство в судах; </w:t>
      </w:r>
    </w:p>
    <w:p w:rsidR="00A92961" w:rsidRDefault="00327711">
      <w:pPr>
        <w:contextualSpacing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продолжить работу по проблемам льготного пенсионного обеспечения педагогических работников;</w:t>
      </w:r>
    </w:p>
    <w:p w:rsidR="00A92961" w:rsidRDefault="00327711">
      <w:pPr>
        <w:contextualSpacing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проводить обучение внештатных правовых инспекторов труда территориальных и первичных профсоюзных организаций, обобщать опыт их работы;</w:t>
      </w:r>
    </w:p>
    <w:p w:rsidR="00A92961" w:rsidRDefault="00327711">
      <w:pPr>
        <w:contextualSpacing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 активнее осуществлять подготовку и издание соответствующих  информационных и методических материалов в помощь профсоюзному активу и работодателям.</w:t>
      </w:r>
    </w:p>
    <w:p w:rsidR="00A92961" w:rsidRDefault="00327711">
      <w:pPr>
        <w:ind w:firstLine="708"/>
        <w:contextualSpacing/>
        <w:jc w:val="both"/>
        <w:rPr>
          <w:sz w:val="28"/>
        </w:rPr>
      </w:pPr>
      <w:r>
        <w:rPr>
          <w:sz w:val="28"/>
        </w:rPr>
        <w:t>4. Председателям  территориальных организаций  обеспечить регулярное участие внештатных  правовых инспекторов труда в областных семинарах, организовывать работу по правовому просвещению профактива, членов Профсоюза, оказывать правовую информационную поддержку руководителей образовательных организаций.</w:t>
      </w:r>
    </w:p>
    <w:p w:rsidR="00A92961" w:rsidRDefault="00327711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5. Правовому инспектору труда </w:t>
      </w:r>
      <w:proofErr w:type="spellStart"/>
      <w:r>
        <w:rPr>
          <w:sz w:val="28"/>
        </w:rPr>
        <w:t>Антопольскому</w:t>
      </w:r>
      <w:proofErr w:type="spellEnd"/>
      <w:r>
        <w:rPr>
          <w:sz w:val="28"/>
        </w:rPr>
        <w:t xml:space="preserve"> К.В.:</w:t>
      </w:r>
    </w:p>
    <w:p w:rsidR="00A92961" w:rsidRDefault="00327711">
      <w:pPr>
        <w:contextualSpacing/>
        <w:jc w:val="both"/>
        <w:rPr>
          <w:sz w:val="28"/>
        </w:rPr>
      </w:pPr>
      <w:r>
        <w:rPr>
          <w:sz w:val="28"/>
        </w:rPr>
        <w:t xml:space="preserve">         -  продолжить  в течение 2021 года работу, направленную на повышение уровня правовой грамотности профсоюзных лидеров и актива в Курской областной организации Профсоюза;</w:t>
      </w:r>
    </w:p>
    <w:p w:rsidR="00A92961" w:rsidRDefault="00327711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- продолжить работу по кадровому укреплению правовой инспекции труда за счёт включения в её состав юристов органов, осуществляющих управление в сфере образования, образовательных учреждений, преподавателей юридических дисциплин и студентов ВУЗов. </w:t>
      </w:r>
    </w:p>
    <w:p w:rsidR="00A92961" w:rsidRDefault="00327711">
      <w:pPr>
        <w:ind w:firstLine="708"/>
        <w:contextualSpacing/>
        <w:jc w:val="both"/>
      </w:pPr>
      <w:r>
        <w:rPr>
          <w:sz w:val="28"/>
        </w:rPr>
        <w:t>6.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данного постановления возложить на   правового инспектора труда обкома Профсоюза </w:t>
      </w:r>
      <w:proofErr w:type="spellStart"/>
      <w:r>
        <w:rPr>
          <w:sz w:val="28"/>
        </w:rPr>
        <w:t>Антопольского</w:t>
      </w:r>
      <w:proofErr w:type="spellEnd"/>
      <w:r>
        <w:rPr>
          <w:sz w:val="28"/>
        </w:rPr>
        <w:t xml:space="preserve"> К.В.</w:t>
      </w:r>
    </w:p>
    <w:p w:rsidR="00A92961" w:rsidRDefault="00A92961">
      <w:pPr>
        <w:pStyle w:val="a5"/>
        <w:jc w:val="both"/>
        <w:rPr>
          <w:rFonts w:ascii="Times New Roman" w:hAnsi="Times New Roman"/>
          <w:sz w:val="28"/>
        </w:rPr>
      </w:pPr>
    </w:p>
    <w:p w:rsidR="00A92961" w:rsidRDefault="001E77F3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4BA6DB" wp14:editId="124CE46C">
            <wp:simplePos x="0" y="0"/>
            <wp:positionH relativeFrom="column">
              <wp:posOffset>2801620</wp:posOffset>
            </wp:positionH>
            <wp:positionV relativeFrom="paragraph">
              <wp:posOffset>165735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7F3" w:rsidRDefault="001E77F3" w:rsidP="001E77F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областной </w:t>
      </w:r>
    </w:p>
    <w:p w:rsidR="001E77F3" w:rsidRDefault="001E77F3" w:rsidP="001E77F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>
        <w:rPr>
          <w:sz w:val="28"/>
          <w:szCs w:val="28"/>
        </w:rPr>
        <w:t xml:space="preserve">организации Профсоюза                                                    И.В. Корякина   </w:t>
      </w:r>
    </w:p>
    <w:p w:rsidR="001E77F3" w:rsidRDefault="001E77F3" w:rsidP="001E77F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A92961" w:rsidRDefault="00A92961">
      <w:pPr>
        <w:pStyle w:val="a5"/>
        <w:jc w:val="both"/>
        <w:rPr>
          <w:rFonts w:ascii="Times New Roman" w:hAnsi="Times New Roman"/>
          <w:sz w:val="28"/>
        </w:rPr>
      </w:pPr>
    </w:p>
    <w:p w:rsidR="00A92961" w:rsidRDefault="00327711">
      <w:pPr>
        <w:pStyle w:val="a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A92961" w:rsidRDefault="00A92961">
      <w:pPr>
        <w:jc w:val="both"/>
        <w:rPr>
          <w:sz w:val="28"/>
        </w:rPr>
      </w:pPr>
    </w:p>
    <w:p w:rsidR="00A92961" w:rsidRDefault="00A92961">
      <w:pPr>
        <w:jc w:val="both"/>
        <w:rPr>
          <w:sz w:val="28"/>
        </w:rPr>
      </w:pPr>
      <w:bookmarkStart w:id="0" w:name="_GoBack"/>
      <w:bookmarkEnd w:id="0"/>
    </w:p>
    <w:p w:rsidR="00A92961" w:rsidRDefault="00A92961">
      <w:pPr>
        <w:jc w:val="both"/>
        <w:rPr>
          <w:sz w:val="28"/>
        </w:rPr>
      </w:pPr>
    </w:p>
    <w:p w:rsidR="00A92961" w:rsidRDefault="00A92961">
      <w:pPr>
        <w:jc w:val="both"/>
        <w:rPr>
          <w:sz w:val="28"/>
        </w:rPr>
      </w:pPr>
    </w:p>
    <w:p w:rsidR="00A92961" w:rsidRDefault="00A92961">
      <w:pPr>
        <w:jc w:val="both"/>
        <w:rPr>
          <w:sz w:val="28"/>
        </w:rPr>
      </w:pPr>
    </w:p>
    <w:p w:rsidR="00A92961" w:rsidRDefault="00A92961">
      <w:pPr>
        <w:jc w:val="both"/>
        <w:rPr>
          <w:sz w:val="28"/>
        </w:rPr>
      </w:pPr>
    </w:p>
    <w:p w:rsidR="00A92961" w:rsidRDefault="00A92961">
      <w:pPr>
        <w:jc w:val="both"/>
        <w:rPr>
          <w:sz w:val="28"/>
        </w:rPr>
      </w:pPr>
    </w:p>
    <w:p w:rsidR="00A92961" w:rsidRDefault="00A92961">
      <w:pPr>
        <w:jc w:val="both"/>
        <w:rPr>
          <w:sz w:val="28"/>
        </w:rPr>
      </w:pPr>
    </w:p>
    <w:p w:rsidR="00A92961" w:rsidRDefault="00A92961">
      <w:pPr>
        <w:jc w:val="both"/>
        <w:rPr>
          <w:sz w:val="28"/>
        </w:rPr>
      </w:pPr>
    </w:p>
    <w:sectPr w:rsidR="00A92961">
      <w:pgSz w:w="11906" w:h="16838" w:code="9"/>
      <w:pgMar w:top="567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4DFAE3FE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EB15C96"/>
    <w:multiLevelType w:val="hybridMultilevel"/>
    <w:tmpl w:val="E8B6300C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BC4C2134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6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8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40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2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4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6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81" w:hanging="360"/>
      </w:pPr>
      <w:rPr>
        <w:rFonts w:ascii="Wingdings" w:hAnsi="Wingdings"/>
      </w:rPr>
    </w:lvl>
  </w:abstractNum>
  <w:abstractNum w:abstractNumId="3">
    <w:nsid w:val="15B909CF"/>
    <w:multiLevelType w:val="hybridMultilevel"/>
    <w:tmpl w:val="DCB8367C"/>
    <w:lvl w:ilvl="0" w:tplc="A5843814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left" w:pos="2685"/>
        </w:tabs>
        <w:ind w:left="2685" w:hanging="36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4">
    <w:nsid w:val="161E37F6"/>
    <w:multiLevelType w:val="hybridMultilevel"/>
    <w:tmpl w:val="E522C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59B8649C"/>
    <w:lvl w:ilvl="0" w:tplc="7DBAB9D0">
      <w:start w:val="2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262CF214"/>
    <w:lvl w:ilvl="0" w:tplc="04190001">
      <w:start w:val="1"/>
      <w:numFmt w:val="bullet"/>
      <w:lvlText w:val=""/>
      <w:lvlJc w:val="left"/>
      <w:pPr>
        <w:tabs>
          <w:tab w:val="left" w:pos="927"/>
        </w:tabs>
        <w:ind w:left="92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nsid w:val="295D0EC8"/>
    <w:multiLevelType w:val="hybridMultilevel"/>
    <w:tmpl w:val="71D6C39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8">
    <w:nsid w:val="29A439F3"/>
    <w:multiLevelType w:val="hybridMultilevel"/>
    <w:tmpl w:val="BE26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9B6E7014"/>
    <w:lvl w:ilvl="0" w:tplc="041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0">
    <w:nsid w:val="397D2C58"/>
    <w:multiLevelType w:val="hybridMultilevel"/>
    <w:tmpl w:val="51F6C0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E4A3E"/>
    <w:multiLevelType w:val="hybridMultilevel"/>
    <w:tmpl w:val="F3140D00"/>
    <w:lvl w:ilvl="0" w:tplc="05340CA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B7AD2C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9A621F5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57F0068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966ADDAA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8710E64E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CA6290D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2B0A8EFE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2538300C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2">
    <w:nsid w:val="3F7121C4"/>
    <w:multiLevelType w:val="hybridMultilevel"/>
    <w:tmpl w:val="9798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23D02"/>
    <w:multiLevelType w:val="multilevel"/>
    <w:tmpl w:val="ACB6382C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4DD77A09"/>
    <w:multiLevelType w:val="hybridMultilevel"/>
    <w:tmpl w:val="53DA4866"/>
    <w:lvl w:ilvl="0" w:tplc="008C6F2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184BF6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7E52AD9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81DE9CD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D59C6F42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A5A4F1C8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287A343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485C63D4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414ED9A2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5">
    <w:nsid w:val="5C2D019C"/>
    <w:multiLevelType w:val="hybridMultilevel"/>
    <w:tmpl w:val="93F23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16E05"/>
    <w:multiLevelType w:val="hybridMultilevel"/>
    <w:tmpl w:val="7D8AABF8"/>
    <w:lvl w:ilvl="0" w:tplc="5FB4EBA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B46268"/>
    <w:multiLevelType w:val="hybridMultilevel"/>
    <w:tmpl w:val="80607FA2"/>
    <w:lvl w:ilvl="0" w:tplc="5FB4EBA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682C97"/>
    <w:multiLevelType w:val="multilevel"/>
    <w:tmpl w:val="70446964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7E793182"/>
    <w:multiLevelType w:val="hybridMultilevel"/>
    <w:tmpl w:val="A880BC94"/>
    <w:lvl w:ilvl="0" w:tplc="5FF22D20">
      <w:start w:val="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4"/>
  </w:num>
  <w:num w:numId="5">
    <w:abstractNumId w:val="18"/>
  </w:num>
  <w:num w:numId="6">
    <w:abstractNumId w:val="17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 w:numId="16">
    <w:abstractNumId w:val="2"/>
  </w:num>
  <w:num w:numId="17">
    <w:abstractNumId w:val="19"/>
  </w:num>
  <w:num w:numId="18">
    <w:abstractNumId w:val="5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61"/>
    <w:rsid w:val="001E77F3"/>
    <w:rsid w:val="00327711"/>
    <w:rsid w:val="00A9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semiHidden/>
    <w:qFormat/>
    <w:pPr>
      <w:keepNext/>
      <w:suppressAutoHyphens w:val="0"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uppressAutoHyphens w:val="0"/>
    </w:pPr>
    <w:rPr>
      <w:rFonts w:ascii="Courier New" w:hAnsi="Courier New"/>
      <w:sz w:val="20"/>
    </w:rPr>
  </w:style>
  <w:style w:type="paragraph" w:styleId="a5">
    <w:name w:val="No Spacing"/>
    <w:qFormat/>
    <w:pPr>
      <w:spacing w:after="0" w:line="240" w:lineRule="auto"/>
    </w:pPr>
  </w:style>
  <w:style w:type="paragraph" w:styleId="a6">
    <w:name w:val="Body Text"/>
    <w:basedOn w:val="a"/>
    <w:link w:val="a7"/>
    <w:pPr>
      <w:suppressAutoHyphens w:val="0"/>
      <w:spacing w:before="100" w:beforeAutospacing="1" w:after="100" w:afterAutospacing="1"/>
    </w:pPr>
  </w:style>
  <w:style w:type="paragraph" w:styleId="a8">
    <w:name w:val="Body Text Indent"/>
    <w:basedOn w:val="a"/>
    <w:link w:val="a9"/>
    <w:semiHidden/>
    <w:pPr>
      <w:spacing w:after="120"/>
      <w:ind w:left="283"/>
    </w:pPr>
  </w:style>
  <w:style w:type="paragraph" w:styleId="aa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sz w:val="22"/>
    </w:rPr>
  </w:style>
  <w:style w:type="paragraph" w:styleId="ab">
    <w:name w:val="Title"/>
    <w:basedOn w:val="a"/>
    <w:next w:val="ac"/>
    <w:link w:val="ad"/>
    <w:qFormat/>
    <w:pPr>
      <w:jc w:val="center"/>
    </w:pPr>
    <w:rPr>
      <w:b/>
      <w:color w:val="000000"/>
      <w:sz w:val="28"/>
    </w:rPr>
  </w:style>
  <w:style w:type="paragraph" w:styleId="ac">
    <w:name w:val="Subtitle"/>
    <w:basedOn w:val="a"/>
    <w:next w:val="a6"/>
    <w:link w:val="ae"/>
    <w:qFormat/>
    <w:pPr>
      <w:jc w:val="center"/>
    </w:pPr>
    <w:rPr>
      <w:b/>
      <w:sz w:val="28"/>
    </w:rPr>
  </w:style>
  <w:style w:type="paragraph" w:styleId="21">
    <w:name w:val="Body Text 2"/>
    <w:basedOn w:val="a"/>
    <w:link w:val="22"/>
    <w:pPr>
      <w:suppressAutoHyphens w:val="0"/>
      <w:spacing w:after="120" w:line="480" w:lineRule="auto"/>
    </w:pPr>
  </w:style>
  <w:style w:type="paragraph" w:styleId="af">
    <w:name w:val="Balloon Text"/>
    <w:basedOn w:val="a"/>
    <w:link w:val="af0"/>
    <w:semiHidden/>
    <w:rPr>
      <w:rFonts w:ascii="Tahoma" w:hAnsi="Tahoma"/>
      <w:sz w:val="16"/>
    </w:rPr>
  </w:style>
  <w:style w:type="paragraph" w:styleId="af1">
    <w:name w:val="Normal (Web)"/>
    <w:basedOn w:val="a"/>
    <w:pPr>
      <w:suppressAutoHyphens w:val="0"/>
      <w:spacing w:before="100" w:beforeAutospacing="1" w:after="100" w:afterAutospacing="1"/>
    </w:pPr>
  </w:style>
  <w:style w:type="paragraph" w:customStyle="1" w:styleId="af2">
    <w:name w:val="Содержимое таблицы"/>
    <w:basedOn w:val="a"/>
    <w:pPr>
      <w:widowControl w:val="0"/>
      <w:suppressLineNumbers/>
    </w:pPr>
  </w:style>
  <w:style w:type="character" w:styleId="af3">
    <w:name w:val="line number"/>
    <w:basedOn w:val="a0"/>
    <w:semiHidden/>
  </w:style>
  <w:style w:type="character" w:styleId="af4">
    <w:name w:val="Hyperlink"/>
    <w:basedOn w:val="a0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sz w:val="20"/>
    </w:rPr>
  </w:style>
  <w:style w:type="character" w:customStyle="1" w:styleId="a7">
    <w:name w:val="Основной текст Знак"/>
    <w:basedOn w:val="a0"/>
    <w:link w:val="a6"/>
  </w:style>
  <w:style w:type="character" w:customStyle="1" w:styleId="a9">
    <w:name w:val="Основной текст с отступом Знак"/>
    <w:basedOn w:val="a0"/>
    <w:link w:val="a8"/>
    <w:semiHidden/>
  </w:style>
  <w:style w:type="character" w:styleId="af5">
    <w:name w:val="Strong"/>
    <w:basedOn w:val="a0"/>
    <w:qFormat/>
    <w:rPr>
      <w:b/>
    </w:rPr>
  </w:style>
  <w:style w:type="character" w:customStyle="1" w:styleId="apple-converted-space">
    <w:name w:val="apple-converted-space"/>
    <w:basedOn w:val="a0"/>
  </w:style>
  <w:style w:type="character" w:customStyle="1" w:styleId="ad">
    <w:name w:val="Название Знак"/>
    <w:basedOn w:val="a0"/>
    <w:link w:val="ab"/>
    <w:rPr>
      <w:b/>
      <w:color w:val="000000"/>
      <w:sz w:val="28"/>
    </w:rPr>
  </w:style>
  <w:style w:type="character" w:customStyle="1" w:styleId="ae">
    <w:name w:val="Подзаголовок Знак"/>
    <w:basedOn w:val="a0"/>
    <w:link w:val="ac"/>
    <w:rPr>
      <w:b/>
      <w:sz w:val="28"/>
    </w:rPr>
  </w:style>
  <w:style w:type="character" w:customStyle="1" w:styleId="22">
    <w:name w:val="Основной текст 2 Знак"/>
    <w:basedOn w:val="a0"/>
    <w:link w:val="21"/>
  </w:style>
  <w:style w:type="character" w:customStyle="1" w:styleId="10">
    <w:name w:val="Заголовок 1 Знак"/>
    <w:basedOn w:val="a0"/>
    <w:link w:val="1"/>
    <w:rPr>
      <w:rFonts w:ascii="Cambria" w:hAnsi="Cambria"/>
      <w:b/>
      <w:sz w:val="32"/>
    </w:rPr>
  </w:style>
  <w:style w:type="character" w:customStyle="1" w:styleId="20">
    <w:name w:val="Заголовок 2 Знак"/>
    <w:basedOn w:val="a0"/>
    <w:link w:val="2"/>
    <w:semiHidden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rPr>
      <w:rFonts w:ascii="Arial" w:hAnsi="Arial"/>
      <w:b/>
      <w:sz w:val="26"/>
    </w:rPr>
  </w:style>
  <w:style w:type="character" w:customStyle="1" w:styleId="af0">
    <w:name w:val="Текст выноски Знак"/>
    <w:basedOn w:val="a0"/>
    <w:link w:val="af"/>
    <w:semiHidden/>
    <w:rPr>
      <w:rFonts w:ascii="Tahoma" w:hAnsi="Tahoma"/>
      <w:sz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semiHidden/>
    <w:qFormat/>
    <w:pPr>
      <w:keepNext/>
      <w:suppressAutoHyphens w:val="0"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uppressAutoHyphens w:val="0"/>
    </w:pPr>
    <w:rPr>
      <w:rFonts w:ascii="Courier New" w:hAnsi="Courier New"/>
      <w:sz w:val="20"/>
    </w:rPr>
  </w:style>
  <w:style w:type="paragraph" w:styleId="a5">
    <w:name w:val="No Spacing"/>
    <w:qFormat/>
    <w:pPr>
      <w:spacing w:after="0" w:line="240" w:lineRule="auto"/>
    </w:pPr>
  </w:style>
  <w:style w:type="paragraph" w:styleId="a6">
    <w:name w:val="Body Text"/>
    <w:basedOn w:val="a"/>
    <w:link w:val="a7"/>
    <w:pPr>
      <w:suppressAutoHyphens w:val="0"/>
      <w:spacing w:before="100" w:beforeAutospacing="1" w:after="100" w:afterAutospacing="1"/>
    </w:pPr>
  </w:style>
  <w:style w:type="paragraph" w:styleId="a8">
    <w:name w:val="Body Text Indent"/>
    <w:basedOn w:val="a"/>
    <w:link w:val="a9"/>
    <w:semiHidden/>
    <w:pPr>
      <w:spacing w:after="120"/>
      <w:ind w:left="283"/>
    </w:pPr>
  </w:style>
  <w:style w:type="paragraph" w:styleId="aa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sz w:val="22"/>
    </w:rPr>
  </w:style>
  <w:style w:type="paragraph" w:styleId="ab">
    <w:name w:val="Title"/>
    <w:basedOn w:val="a"/>
    <w:next w:val="ac"/>
    <w:link w:val="ad"/>
    <w:qFormat/>
    <w:pPr>
      <w:jc w:val="center"/>
    </w:pPr>
    <w:rPr>
      <w:b/>
      <w:color w:val="000000"/>
      <w:sz w:val="28"/>
    </w:rPr>
  </w:style>
  <w:style w:type="paragraph" w:styleId="ac">
    <w:name w:val="Subtitle"/>
    <w:basedOn w:val="a"/>
    <w:next w:val="a6"/>
    <w:link w:val="ae"/>
    <w:qFormat/>
    <w:pPr>
      <w:jc w:val="center"/>
    </w:pPr>
    <w:rPr>
      <w:b/>
      <w:sz w:val="28"/>
    </w:rPr>
  </w:style>
  <w:style w:type="paragraph" w:styleId="21">
    <w:name w:val="Body Text 2"/>
    <w:basedOn w:val="a"/>
    <w:link w:val="22"/>
    <w:pPr>
      <w:suppressAutoHyphens w:val="0"/>
      <w:spacing w:after="120" w:line="480" w:lineRule="auto"/>
    </w:pPr>
  </w:style>
  <w:style w:type="paragraph" w:styleId="af">
    <w:name w:val="Balloon Text"/>
    <w:basedOn w:val="a"/>
    <w:link w:val="af0"/>
    <w:semiHidden/>
    <w:rPr>
      <w:rFonts w:ascii="Tahoma" w:hAnsi="Tahoma"/>
      <w:sz w:val="16"/>
    </w:rPr>
  </w:style>
  <w:style w:type="paragraph" w:styleId="af1">
    <w:name w:val="Normal (Web)"/>
    <w:basedOn w:val="a"/>
    <w:pPr>
      <w:suppressAutoHyphens w:val="0"/>
      <w:spacing w:before="100" w:beforeAutospacing="1" w:after="100" w:afterAutospacing="1"/>
    </w:pPr>
  </w:style>
  <w:style w:type="paragraph" w:customStyle="1" w:styleId="af2">
    <w:name w:val="Содержимое таблицы"/>
    <w:basedOn w:val="a"/>
    <w:pPr>
      <w:widowControl w:val="0"/>
      <w:suppressLineNumbers/>
    </w:pPr>
  </w:style>
  <w:style w:type="character" w:styleId="af3">
    <w:name w:val="line number"/>
    <w:basedOn w:val="a0"/>
    <w:semiHidden/>
  </w:style>
  <w:style w:type="character" w:styleId="af4">
    <w:name w:val="Hyperlink"/>
    <w:basedOn w:val="a0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sz w:val="20"/>
    </w:rPr>
  </w:style>
  <w:style w:type="character" w:customStyle="1" w:styleId="a7">
    <w:name w:val="Основной текст Знак"/>
    <w:basedOn w:val="a0"/>
    <w:link w:val="a6"/>
  </w:style>
  <w:style w:type="character" w:customStyle="1" w:styleId="a9">
    <w:name w:val="Основной текст с отступом Знак"/>
    <w:basedOn w:val="a0"/>
    <w:link w:val="a8"/>
    <w:semiHidden/>
  </w:style>
  <w:style w:type="character" w:styleId="af5">
    <w:name w:val="Strong"/>
    <w:basedOn w:val="a0"/>
    <w:qFormat/>
    <w:rPr>
      <w:b/>
    </w:rPr>
  </w:style>
  <w:style w:type="character" w:customStyle="1" w:styleId="apple-converted-space">
    <w:name w:val="apple-converted-space"/>
    <w:basedOn w:val="a0"/>
  </w:style>
  <w:style w:type="character" w:customStyle="1" w:styleId="ad">
    <w:name w:val="Название Знак"/>
    <w:basedOn w:val="a0"/>
    <w:link w:val="ab"/>
    <w:rPr>
      <w:b/>
      <w:color w:val="000000"/>
      <w:sz w:val="28"/>
    </w:rPr>
  </w:style>
  <w:style w:type="character" w:customStyle="1" w:styleId="ae">
    <w:name w:val="Подзаголовок Знак"/>
    <w:basedOn w:val="a0"/>
    <w:link w:val="ac"/>
    <w:rPr>
      <w:b/>
      <w:sz w:val="28"/>
    </w:rPr>
  </w:style>
  <w:style w:type="character" w:customStyle="1" w:styleId="22">
    <w:name w:val="Основной текст 2 Знак"/>
    <w:basedOn w:val="a0"/>
    <w:link w:val="21"/>
  </w:style>
  <w:style w:type="character" w:customStyle="1" w:styleId="10">
    <w:name w:val="Заголовок 1 Знак"/>
    <w:basedOn w:val="a0"/>
    <w:link w:val="1"/>
    <w:rPr>
      <w:rFonts w:ascii="Cambria" w:hAnsi="Cambria"/>
      <w:b/>
      <w:sz w:val="32"/>
    </w:rPr>
  </w:style>
  <w:style w:type="character" w:customStyle="1" w:styleId="20">
    <w:name w:val="Заголовок 2 Знак"/>
    <w:basedOn w:val="a0"/>
    <w:link w:val="2"/>
    <w:semiHidden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rPr>
      <w:rFonts w:ascii="Arial" w:hAnsi="Arial"/>
      <w:b/>
      <w:sz w:val="26"/>
    </w:rPr>
  </w:style>
  <w:style w:type="character" w:customStyle="1" w:styleId="af0">
    <w:name w:val="Текст выноски Знак"/>
    <w:basedOn w:val="a0"/>
    <w:link w:val="af"/>
    <w:semiHidden/>
    <w:rPr>
      <w:rFonts w:ascii="Tahoma" w:hAnsi="Tahoma"/>
      <w:sz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Zampred</dc:creator>
  <cp:lastModifiedBy>HP</cp:lastModifiedBy>
  <cp:revision>3</cp:revision>
  <dcterms:created xsi:type="dcterms:W3CDTF">2021-02-10T11:20:00Z</dcterms:created>
  <dcterms:modified xsi:type="dcterms:W3CDTF">2021-02-11T14:52:00Z</dcterms:modified>
</cp:coreProperties>
</file>